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ТЗ на новый отчет по движению товара в транзите, в резерве.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На основе стандартного отчета “Ведомость по товарам в рознице” добавить колонки “В резерве”, “В пути”, “Ожидается”.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Информацию по колонке “В резерве” брать из регистра накопления “Товары к передаче со складов”, документом движения является “Перемещение товаров”.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Информацию по колонке “В пути” брать из регистра накопления “Товары к получению на склады” с отрицательным знаком (т.е. надо кол-во умножить на -1 ). Документом движения является “Перемещение товаров”.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Информацию по колонке “Ожидается” брать как сумму кол-ва из регистров накоплений “Товары к получению на склады” и “Товары приход план”. Документом движения является документ “Перемещение товаров”.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Более подробно указано в картинке ниже.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Настройки в отчете должны быть следующие: период должен указываться, фильтр по складам, фильтр по номенклатуре.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Также должна быть галочка “Только товар по ордерам”, это означает, когда она установлена, то выводится только тот товар, который в резерве или в пути.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5486400" cx="9334500"/>
            <wp:effectExtent t="0" b="0" r="0" l="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5486400" cx="933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pgSz w:w="15840" w:h="12240"/>
      <w:pgMar w:left="567" w:right="567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новый отчет по движению товара с транзитом и резервом.docx</dc:title>
</cp:coreProperties>
</file>