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4D" w:rsidRPr="003E57FB" w:rsidRDefault="0001484D" w:rsidP="0001484D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  <w:lang w:eastAsia="ru-RU"/>
        </w:rPr>
      </w:pPr>
      <w:r w:rsidRPr="003E57FB">
        <w:rPr>
          <w:rFonts w:ascii="Arial" w:hAnsi="Arial" w:cs="Arial"/>
          <w:b/>
          <w:sz w:val="26"/>
          <w:szCs w:val="26"/>
          <w:lang w:eastAsia="ru-RU"/>
        </w:rPr>
        <w:t xml:space="preserve">Доработка функционала </w:t>
      </w:r>
      <w:r>
        <w:rPr>
          <w:rFonts w:ascii="Arial" w:hAnsi="Arial" w:cs="Arial"/>
          <w:b/>
          <w:sz w:val="26"/>
          <w:szCs w:val="26"/>
          <w:lang w:eastAsia="ru-RU"/>
        </w:rPr>
        <w:t xml:space="preserve">справочника </w:t>
      </w:r>
      <w:r w:rsidRPr="003E57FB">
        <w:rPr>
          <w:rFonts w:ascii="Arial" w:hAnsi="Arial" w:cs="Arial"/>
          <w:b/>
          <w:sz w:val="26"/>
          <w:szCs w:val="26"/>
          <w:lang w:eastAsia="ru-RU"/>
        </w:rPr>
        <w:t>«</w:t>
      </w:r>
      <w:r>
        <w:rPr>
          <w:rFonts w:ascii="Arial" w:hAnsi="Arial" w:cs="Arial"/>
          <w:b/>
          <w:sz w:val="26"/>
          <w:szCs w:val="26"/>
          <w:lang w:eastAsia="ru-RU"/>
        </w:rPr>
        <w:t>Номенклатура</w:t>
      </w:r>
      <w:r w:rsidRPr="003E57FB">
        <w:rPr>
          <w:rFonts w:ascii="Arial" w:hAnsi="Arial" w:cs="Arial"/>
          <w:b/>
          <w:sz w:val="26"/>
          <w:szCs w:val="26"/>
          <w:lang w:eastAsia="ru-RU"/>
        </w:rPr>
        <w:t>»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элементы справочника «Номенклатура» необходимо добавить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125"/>
        <w:gridCol w:w="3215"/>
      </w:tblGrid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Прайс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Булево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 xml:space="preserve">Признак служит для отбора товаров, которые должны выгружаться на сайт 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Гарантия производителя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Булево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Срок гарантии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Число</w:t>
            </w:r>
            <w:r>
              <w:rPr>
                <w:rFonts w:ascii="Arial" w:hAnsi="Arial" w:cs="Arial"/>
              </w:rPr>
              <w:t xml:space="preserve"> </w:t>
            </w:r>
            <w:r w:rsidRPr="00630691">
              <w:rPr>
                <w:rFonts w:ascii="Arial" w:hAnsi="Arial" w:cs="Arial"/>
              </w:rPr>
              <w:t>(3,0)</w:t>
            </w:r>
          </w:p>
        </w:tc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Срок гарантии указывается в месяцах. </w:t>
            </w:r>
            <w:r w:rsidRPr="00630691">
              <w:rPr>
                <w:rFonts w:ascii="Arial" w:hAnsi="Arial" w:cs="Arial"/>
              </w:rPr>
              <w:t xml:space="preserve">Если указано </w:t>
            </w:r>
            <w:r>
              <w:rPr>
                <w:rFonts w:ascii="Arial" w:hAnsi="Arial" w:cs="Arial"/>
              </w:rPr>
              <w:t>«</w:t>
            </w:r>
            <w:r w:rsidRPr="00630691">
              <w:rPr>
                <w:rFonts w:ascii="Arial" w:hAnsi="Arial" w:cs="Arial"/>
              </w:rPr>
              <w:t>999</w:t>
            </w:r>
            <w:r>
              <w:rPr>
                <w:rFonts w:ascii="Arial" w:hAnsi="Arial" w:cs="Arial"/>
              </w:rPr>
              <w:t>»</w:t>
            </w:r>
            <w:r w:rsidRPr="00630691">
              <w:rPr>
                <w:rFonts w:ascii="Arial" w:hAnsi="Arial" w:cs="Arial"/>
              </w:rPr>
              <w:t>, гарантия считается пожизненной</w:t>
            </w:r>
          </w:p>
        </w:tc>
      </w:tr>
    </w:tbl>
    <w:p w:rsidR="0001484D" w:rsidRDefault="0001484D" w:rsidP="0001484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форму списка справочника требуется добавить следующие колонки: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6038"/>
      </w:tblGrid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Источник данных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Прайс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Соответствующий реквизит справочника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Резерв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товаров в резерве на</w:t>
            </w:r>
            <w:r w:rsidRPr="00630691">
              <w:rPr>
                <w:rFonts w:ascii="Arial" w:hAnsi="Arial" w:cs="Arial"/>
              </w:rPr>
              <w:t xml:space="preserve"> все</w:t>
            </w:r>
            <w:r>
              <w:rPr>
                <w:rFonts w:ascii="Arial" w:hAnsi="Arial" w:cs="Arial"/>
              </w:rPr>
              <w:t>х</w:t>
            </w:r>
            <w:r w:rsidRPr="00630691">
              <w:rPr>
                <w:rFonts w:ascii="Arial" w:hAnsi="Arial" w:cs="Arial"/>
              </w:rPr>
              <w:t xml:space="preserve"> склада</w:t>
            </w:r>
            <w:r>
              <w:rPr>
                <w:rFonts w:ascii="Arial" w:hAnsi="Arial" w:cs="Arial"/>
              </w:rPr>
              <w:t>х по всем организациям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Остатки на складе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Количество товаров на всех складах</w:t>
            </w:r>
            <w:r>
              <w:rPr>
                <w:rFonts w:ascii="Arial" w:hAnsi="Arial" w:cs="Arial"/>
              </w:rPr>
              <w:t xml:space="preserve"> по всем организациям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Заказано поставщикам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Количество товаров в неисполненных заказах поставщикам.</w:t>
            </w:r>
            <w:r>
              <w:rPr>
                <w:rFonts w:ascii="Arial" w:hAnsi="Arial" w:cs="Arial"/>
              </w:rPr>
              <w:t xml:space="preserve"> Остаток по номенклатуре по регистру накопления «Заказы поставщикам».</w:t>
            </w:r>
            <w:r w:rsidRPr="00630691">
              <w:rPr>
                <w:rFonts w:ascii="Arial" w:hAnsi="Arial" w:cs="Arial"/>
              </w:rPr>
              <w:t xml:space="preserve"> По двойному клику на ячейку должен открываться </w:t>
            </w:r>
            <w:r>
              <w:rPr>
                <w:rFonts w:ascii="Arial" w:hAnsi="Arial" w:cs="Arial"/>
              </w:rPr>
              <w:t>документ «</w:t>
            </w:r>
            <w:r w:rsidRPr="00630691">
              <w:rPr>
                <w:rFonts w:ascii="Arial" w:hAnsi="Arial" w:cs="Arial"/>
              </w:rPr>
              <w:t>Заказ поставщику</w:t>
            </w:r>
            <w:r>
              <w:rPr>
                <w:rFonts w:ascii="Arial" w:hAnsi="Arial" w:cs="Arial"/>
              </w:rPr>
              <w:t>»</w:t>
            </w:r>
            <w:r w:rsidRPr="00630691">
              <w:rPr>
                <w:rFonts w:ascii="Arial" w:hAnsi="Arial" w:cs="Arial"/>
              </w:rPr>
              <w:t xml:space="preserve">. Если заказов несколько, должна появиться форма со списком </w:t>
            </w:r>
            <w:r>
              <w:rPr>
                <w:rFonts w:ascii="Arial" w:hAnsi="Arial" w:cs="Arial"/>
              </w:rPr>
              <w:t>документов «Заказ поставщику», откуда их можно открыть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Наличие у поставщиков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единиц номенклатуры</w:t>
            </w:r>
            <w:r w:rsidRPr="006306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по данным </w:t>
            </w:r>
            <w:r w:rsidRPr="00630691">
              <w:rPr>
                <w:rFonts w:ascii="Arial" w:hAnsi="Arial" w:cs="Arial"/>
              </w:rPr>
              <w:t xml:space="preserve">регистра </w:t>
            </w:r>
            <w:r>
              <w:rPr>
                <w:rFonts w:ascii="Arial" w:hAnsi="Arial" w:cs="Arial"/>
              </w:rPr>
              <w:t xml:space="preserve">сведений </w:t>
            </w:r>
            <w:r w:rsidRPr="00630691">
              <w:rPr>
                <w:rFonts w:ascii="Arial" w:hAnsi="Arial" w:cs="Arial"/>
              </w:rPr>
              <w:t xml:space="preserve">«Товары поставщиков» </w:t>
            </w:r>
            <w:r>
              <w:rPr>
                <w:rFonts w:ascii="Arial" w:hAnsi="Arial" w:cs="Arial"/>
              </w:rPr>
              <w:t xml:space="preserve">по всем поставщикам </w:t>
            </w:r>
            <w:r w:rsidRPr="00630691">
              <w:rPr>
                <w:rFonts w:ascii="Arial" w:hAnsi="Arial" w:cs="Arial"/>
              </w:rPr>
              <w:t>на текущую дату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Основной поставщик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Должно отображаться наименование контрагента, у которого на данный момент запасов данной номе</w:t>
            </w:r>
            <w:r>
              <w:rPr>
                <w:rFonts w:ascii="Arial" w:hAnsi="Arial" w:cs="Arial"/>
              </w:rPr>
              <w:t>нклатуры на складе больше всего. Данные о количестве запасов следует брать из регистра сведений «Товары поставщиков» на текущую дату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Гарантия производителя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Соответствующий реквизит справочника</w:t>
            </w:r>
            <w:r>
              <w:rPr>
                <w:rFonts w:ascii="Arial" w:hAnsi="Arial" w:cs="Arial"/>
              </w:rPr>
              <w:t xml:space="preserve"> «Номенклатура»</w:t>
            </w:r>
          </w:p>
        </w:tc>
      </w:tr>
      <w:tr w:rsidR="0001484D" w:rsidRPr="00630691" w:rsidTr="00193ABD">
        <w:trPr>
          <w:trHeight w:val="454"/>
        </w:trPr>
        <w:tc>
          <w:tcPr>
            <w:tcW w:w="342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Срок гарантии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Соответствующий реквизит справочника</w:t>
            </w:r>
            <w:r>
              <w:rPr>
                <w:rFonts w:ascii="Arial" w:hAnsi="Arial" w:cs="Arial"/>
              </w:rPr>
              <w:t xml:space="preserve"> «Номенклатура»</w:t>
            </w:r>
          </w:p>
        </w:tc>
      </w:tr>
    </w:tbl>
    <w:p w:rsidR="0001484D" w:rsidRDefault="0001484D" w:rsidP="0001484D">
      <w:pPr>
        <w:jc w:val="both"/>
        <w:rPr>
          <w:rFonts w:ascii="Arial" w:hAnsi="Arial" w:cs="Arial"/>
        </w:rPr>
      </w:pPr>
    </w:p>
    <w:p w:rsidR="0001484D" w:rsidRPr="003E57FB" w:rsidRDefault="0001484D" w:rsidP="0001484D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 xml:space="preserve">Обработка </w:t>
      </w:r>
      <w:r w:rsidRPr="003E57FB">
        <w:rPr>
          <w:rFonts w:ascii="Arial" w:hAnsi="Arial" w:cs="Arial"/>
          <w:b/>
          <w:sz w:val="26"/>
          <w:szCs w:val="26"/>
          <w:lang w:eastAsia="ru-RU"/>
        </w:rPr>
        <w:t>«</w:t>
      </w:r>
      <w:r>
        <w:rPr>
          <w:rFonts w:ascii="Arial" w:hAnsi="Arial" w:cs="Arial"/>
          <w:b/>
          <w:sz w:val="26"/>
          <w:szCs w:val="26"/>
          <w:lang w:eastAsia="ru-RU"/>
        </w:rPr>
        <w:t>Выгрузка-загрузка табличной части</w:t>
      </w:r>
      <w:r w:rsidRPr="003E57FB">
        <w:rPr>
          <w:rFonts w:ascii="Arial" w:hAnsi="Arial" w:cs="Arial"/>
          <w:b/>
          <w:sz w:val="26"/>
          <w:szCs w:val="26"/>
          <w:lang w:eastAsia="ru-RU"/>
        </w:rPr>
        <w:t>»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Обработка «Выгрузка-загрузка табличной части» предназначена для сохранения данных табличных частей «Товары» </w:t>
      </w:r>
      <w:r w:rsidRPr="00DA67FE">
        <w:rPr>
          <w:rFonts w:ascii="Arial" w:hAnsi="Arial" w:cs="Arial"/>
        </w:rPr>
        <w:t>и «Услуги»</w:t>
      </w:r>
      <w:r>
        <w:rPr>
          <w:rFonts w:ascii="Arial" w:hAnsi="Arial" w:cs="Arial"/>
        </w:rPr>
        <w:t xml:space="preserve"> документов «Заказ покупателя» и «Реализация </w:t>
      </w:r>
      <w:r>
        <w:rPr>
          <w:rFonts w:ascii="Arial" w:hAnsi="Arial" w:cs="Arial"/>
        </w:rPr>
        <w:lastRenderedPageBreak/>
        <w:t xml:space="preserve">товаров и услуг» в файл </w:t>
      </w:r>
      <w:r w:rsidRPr="001965DF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</w:rPr>
        <w:t xml:space="preserve">, а также для загрузки данных из файла </w:t>
      </w:r>
      <w:r w:rsidRPr="001965DF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</w:rPr>
        <w:t xml:space="preserve"> в соответствующие табличные части.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Обработка вызывается с помощью команд «Выгрузить» и «Загрузить» (необходимо добавить данные кнопки), расположенных над табличными частями документов «Заказ покупателя» и «Реализация товаров и услуг».</w:t>
      </w:r>
    </w:p>
    <w:p w:rsidR="0001484D" w:rsidRPr="00150C16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форме обработки «Выгрузка-загрузка табличной части» требуется поместить реквизит «Путь к файлу», в котором следует указывать путь к файлу </w:t>
      </w:r>
      <w:r w:rsidRPr="001965DF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</w:rPr>
        <w:t>. Также на форме необходима кнопка «Выполнить», которая будет запускать процесс выгрузки или загрузки в зависимости от того, по нажатию какой кнопки была открыта форма обработки.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нажатии кнопки «Выгрузить» должна открываться форма, в которой необходимо указать путь к файлу </w:t>
      </w:r>
      <w:r w:rsidRPr="001965DF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</w:rPr>
        <w:t>, в который будет произведена выгрузка данных. По кнопке «Выполнить» следует выгружать данные из текущей табличной части.</w:t>
      </w:r>
    </w:p>
    <w:p w:rsidR="0001484D" w:rsidRPr="002B1F3A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нажатии кнопки «Загрузить» должна открываться форма, в которой необходимо указать путь к файлу </w:t>
      </w:r>
      <w:r w:rsidRPr="001965DF">
        <w:rPr>
          <w:rFonts w:ascii="Arial" w:hAnsi="Arial" w:cs="Arial"/>
        </w:rPr>
        <w:t>*.</w:t>
      </w:r>
      <w:r>
        <w:rPr>
          <w:rFonts w:ascii="Arial" w:hAnsi="Arial" w:cs="Arial"/>
          <w:lang w:val="en-US"/>
        </w:rPr>
        <w:t>dbf</w:t>
      </w:r>
      <w:r>
        <w:rPr>
          <w:rFonts w:ascii="Arial" w:hAnsi="Arial" w:cs="Arial"/>
        </w:rPr>
        <w:t>, из которого будет произведена загрузка данных. По кнопке «Выполнить» следует загрузить данные в текущую табличную часть.</w:t>
      </w:r>
    </w:p>
    <w:p w:rsidR="0001484D" w:rsidRPr="001965DF" w:rsidRDefault="0001484D" w:rsidP="0001484D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Загрузка остатков товаров поставщиков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механизм для загрузки и хранения данных о количестве товаров на складе поставщиков.</w:t>
      </w:r>
    </w:p>
    <w:p w:rsidR="0001484D" w:rsidRPr="00DF6485" w:rsidRDefault="0001484D" w:rsidP="0001484D">
      <w:pPr>
        <w:jc w:val="both"/>
        <w:rPr>
          <w:rFonts w:ascii="Arial" w:hAnsi="Arial" w:cs="Arial"/>
          <w:i/>
          <w:u w:val="single"/>
        </w:rPr>
      </w:pPr>
      <w:r w:rsidRPr="00DF6485">
        <w:rPr>
          <w:rFonts w:ascii="Arial" w:hAnsi="Arial" w:cs="Arial"/>
          <w:i/>
          <w:u w:val="single"/>
        </w:rPr>
        <w:t xml:space="preserve">Регистр </w:t>
      </w:r>
      <w:r>
        <w:rPr>
          <w:rFonts w:ascii="Arial" w:hAnsi="Arial" w:cs="Arial"/>
          <w:i/>
          <w:u w:val="single"/>
        </w:rPr>
        <w:t>сведений</w:t>
      </w:r>
      <w:r w:rsidRPr="00DF6485">
        <w:rPr>
          <w:rFonts w:ascii="Arial" w:hAnsi="Arial" w:cs="Arial"/>
          <w:i/>
          <w:u w:val="single"/>
        </w:rPr>
        <w:t xml:space="preserve"> «Товары поставщиков»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регистр сведений «Товары поставщиков» для хранения информации об остатках товаров на складах поставщиков. Периодичность регистра – день.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Измерения: Поставщик (тип - справочник «Контрагенты»), Номенклатура (тип – справочник «Номенклатура»). Ресурсы: Количество (Тип - Число(10,3)).</w:t>
      </w:r>
    </w:p>
    <w:p w:rsidR="0001484D" w:rsidRPr="00DF6485" w:rsidRDefault="0001484D" w:rsidP="0001484D">
      <w:pPr>
        <w:jc w:val="both"/>
        <w:rPr>
          <w:rFonts w:ascii="Arial" w:hAnsi="Arial" w:cs="Arial"/>
          <w:i/>
          <w:u w:val="single"/>
        </w:rPr>
      </w:pPr>
      <w:r w:rsidRPr="00DF6485">
        <w:rPr>
          <w:rFonts w:ascii="Arial" w:hAnsi="Arial" w:cs="Arial"/>
          <w:i/>
          <w:u w:val="single"/>
        </w:rPr>
        <w:t xml:space="preserve">Документ </w:t>
      </w:r>
      <w:r>
        <w:rPr>
          <w:rFonts w:ascii="Arial" w:hAnsi="Arial" w:cs="Arial"/>
          <w:i/>
          <w:u w:val="single"/>
        </w:rPr>
        <w:t>«Товары</w:t>
      </w:r>
      <w:r w:rsidRPr="00DF6485">
        <w:rPr>
          <w:rFonts w:ascii="Arial" w:hAnsi="Arial" w:cs="Arial"/>
          <w:i/>
          <w:u w:val="single"/>
        </w:rPr>
        <w:t xml:space="preserve"> поставщиков»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Документ предназначен для загрузки данных об остатках товаров, полученных от поставщиков из файла </w:t>
      </w:r>
      <w:r w:rsidRPr="009B0A80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>. Сопоставление номенклатуры производится по артикулу. У некоторых поставщиков может быть указано не точное количество товаров. Например, «Более 10». В этом случае необходимо подставить значение «10».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196"/>
        <w:gridCol w:w="3159"/>
      </w:tblGrid>
      <w:tr w:rsidR="0001484D" w:rsidRPr="00630691" w:rsidTr="00193ABD">
        <w:trPr>
          <w:trHeight w:val="454"/>
        </w:trPr>
        <w:tc>
          <w:tcPr>
            <w:tcW w:w="321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1484D" w:rsidRPr="00630691" w:rsidTr="00193ABD">
        <w:trPr>
          <w:trHeight w:val="454"/>
        </w:trPr>
        <w:tc>
          <w:tcPr>
            <w:tcW w:w="321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Поставщик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</w:p>
        </w:tc>
      </w:tr>
      <w:tr w:rsidR="0001484D" w:rsidRPr="00630691" w:rsidTr="00193ABD">
        <w:trPr>
          <w:trHeight w:val="454"/>
        </w:trPr>
        <w:tc>
          <w:tcPr>
            <w:tcW w:w="9571" w:type="dxa"/>
            <w:gridSpan w:val="3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Табличная часть «Товары»</w:t>
            </w:r>
          </w:p>
        </w:tc>
      </w:tr>
      <w:tr w:rsidR="0001484D" w:rsidRPr="00630691" w:rsidTr="00193ABD">
        <w:trPr>
          <w:trHeight w:val="293"/>
        </w:trPr>
        <w:tc>
          <w:tcPr>
            <w:tcW w:w="321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Артикул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Строка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</w:p>
        </w:tc>
      </w:tr>
      <w:tr w:rsidR="0001484D" w:rsidRPr="00630691" w:rsidTr="00193ABD">
        <w:trPr>
          <w:trHeight w:val="292"/>
        </w:trPr>
        <w:tc>
          <w:tcPr>
            <w:tcW w:w="321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Номенклатура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Справочник «Номенклатура»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</w:p>
        </w:tc>
      </w:tr>
      <w:tr w:rsidR="0001484D" w:rsidRPr="00630691" w:rsidTr="00193ABD">
        <w:trPr>
          <w:trHeight w:val="454"/>
        </w:trPr>
        <w:tc>
          <w:tcPr>
            <w:tcW w:w="321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Количество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  <w:r w:rsidRPr="00630691">
              <w:rPr>
                <w:rFonts w:ascii="Arial" w:hAnsi="Arial" w:cs="Arial"/>
              </w:rPr>
              <w:t>Число(10,3)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1484D" w:rsidRPr="00630691" w:rsidRDefault="0001484D" w:rsidP="00193AB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документе «Товары поставщиков» реквизит «Поставщик» выбирается вручную. Табличная часть «Товары» должна заполняться автоматически по данным из файла </w:t>
      </w:r>
      <w:r w:rsidRPr="00DA6B71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 xml:space="preserve">, но ручной ввод и корректировка также необходимы. 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Для этого над табличной частью «Товары» необходимо добавить кнопку «Загрузить данные из 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>».</w:t>
      </w:r>
      <w:r w:rsidR="00C9586A">
        <w:rPr>
          <w:rFonts w:ascii="Arial" w:hAnsi="Arial" w:cs="Arial"/>
        </w:rPr>
        <w:t xml:space="preserve"> При её нажатии должна открываться форма обработки «Загрузка товаров поставщика» по загрузке дан</w:t>
      </w:r>
      <w:r w:rsidR="00CE6E8E">
        <w:rPr>
          <w:rFonts w:ascii="Arial" w:hAnsi="Arial" w:cs="Arial"/>
        </w:rPr>
        <w:t xml:space="preserve">ных, которую тоже </w:t>
      </w:r>
      <w:r w:rsidR="00CE6E8E">
        <w:rPr>
          <w:rFonts w:ascii="Arial" w:hAnsi="Arial" w:cs="Arial"/>
        </w:rPr>
        <w:t>необходимо создать</w:t>
      </w:r>
      <w:r w:rsidR="00CE6E8E">
        <w:rPr>
          <w:rFonts w:ascii="Arial" w:hAnsi="Arial" w:cs="Arial"/>
        </w:rPr>
        <w:t>.</w:t>
      </w:r>
      <w:r w:rsidR="00C9586A">
        <w:rPr>
          <w:rFonts w:ascii="Arial" w:hAnsi="Arial" w:cs="Arial"/>
        </w:rPr>
        <w:t xml:space="preserve"> В ней необходимы реквизиты: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9586A" w:rsidTr="00CB0576">
        <w:tc>
          <w:tcPr>
            <w:tcW w:w="3190" w:type="dxa"/>
            <w:vAlign w:val="center"/>
          </w:tcPr>
          <w:p w:rsidR="00C9586A" w:rsidRPr="00630691" w:rsidRDefault="00C9586A" w:rsidP="00193ABD">
            <w:pPr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90" w:type="dxa"/>
            <w:vAlign w:val="center"/>
          </w:tcPr>
          <w:p w:rsidR="00C9586A" w:rsidRPr="00630691" w:rsidRDefault="00C9586A" w:rsidP="00193ABD">
            <w:pPr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191" w:type="dxa"/>
            <w:vAlign w:val="center"/>
          </w:tcPr>
          <w:p w:rsidR="00C9586A" w:rsidRPr="00630691" w:rsidRDefault="00C9586A" w:rsidP="00193ABD">
            <w:pPr>
              <w:jc w:val="center"/>
              <w:rPr>
                <w:rFonts w:ascii="Arial" w:hAnsi="Arial" w:cs="Arial"/>
                <w:b/>
              </w:rPr>
            </w:pPr>
            <w:r w:rsidRPr="00630691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9586A" w:rsidTr="00C9586A">
        <w:tc>
          <w:tcPr>
            <w:tcW w:w="3190" w:type="dxa"/>
          </w:tcPr>
          <w:p w:rsid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строк шапки</w:t>
            </w:r>
          </w:p>
        </w:tc>
        <w:tc>
          <w:tcPr>
            <w:tcW w:w="3190" w:type="dxa"/>
          </w:tcPr>
          <w:p w:rsid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(3,0)</w:t>
            </w:r>
          </w:p>
        </w:tc>
        <w:tc>
          <w:tcPr>
            <w:tcW w:w="3191" w:type="dxa"/>
          </w:tcPr>
          <w:p w:rsidR="00C9586A" w:rsidRP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Указывается для определения строки начала таблицы</w:t>
            </w:r>
            <w:r w:rsidRPr="00C958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в файле </w:t>
            </w:r>
            <w:r w:rsidRPr="00C9586A">
              <w:rPr>
                <w:rFonts w:ascii="Arial" w:hAnsi="Arial" w:cs="Arial"/>
              </w:rPr>
              <w:t>*.</w:t>
            </w:r>
            <w:proofErr w:type="spellStart"/>
            <w:r>
              <w:rPr>
                <w:rFonts w:ascii="Arial" w:hAnsi="Arial" w:cs="Arial"/>
                <w:lang w:val="en-US"/>
              </w:rPr>
              <w:t>xls</w:t>
            </w:r>
            <w:proofErr w:type="spellEnd"/>
            <w:r w:rsidRPr="00C9586A">
              <w:rPr>
                <w:rFonts w:ascii="Arial" w:hAnsi="Arial" w:cs="Arial"/>
              </w:rPr>
              <w:t xml:space="preserve"> </w:t>
            </w:r>
          </w:p>
        </w:tc>
      </w:tr>
      <w:tr w:rsidR="00C9586A" w:rsidTr="00C9586A">
        <w:tc>
          <w:tcPr>
            <w:tcW w:w="3190" w:type="dxa"/>
          </w:tcPr>
          <w:p w:rsid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«№ колонки для артикула номенклатуры</w:t>
            </w:r>
          </w:p>
        </w:tc>
        <w:tc>
          <w:tcPr>
            <w:tcW w:w="3190" w:type="dxa"/>
          </w:tcPr>
          <w:p w:rsid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(3,0)</w:t>
            </w:r>
          </w:p>
        </w:tc>
        <w:tc>
          <w:tcPr>
            <w:tcW w:w="3191" w:type="dxa"/>
          </w:tcPr>
          <w:p w:rsidR="00C9586A" w:rsidRDefault="00C9586A" w:rsidP="00C958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колонки в файле </w:t>
            </w:r>
            <w:r w:rsidRPr="00C9586A">
              <w:rPr>
                <w:rFonts w:ascii="Arial" w:hAnsi="Arial" w:cs="Arial"/>
              </w:rPr>
              <w:t>*.</w:t>
            </w:r>
            <w:proofErr w:type="spellStart"/>
            <w:r>
              <w:rPr>
                <w:rFonts w:ascii="Arial" w:hAnsi="Arial" w:cs="Arial"/>
                <w:lang w:val="en-US"/>
              </w:rPr>
              <w:t>xls</w:t>
            </w:r>
            <w:proofErr w:type="spellEnd"/>
            <w:r w:rsidRPr="00C958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содержащей информацию об артикулах номенклатуры</w:t>
            </w:r>
          </w:p>
        </w:tc>
      </w:tr>
      <w:tr w:rsidR="00C9586A" w:rsidTr="00C9586A">
        <w:tc>
          <w:tcPr>
            <w:tcW w:w="3190" w:type="dxa"/>
          </w:tcPr>
          <w:p w:rsid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«№ колонки для количества номенклатуры</w:t>
            </w:r>
          </w:p>
        </w:tc>
        <w:tc>
          <w:tcPr>
            <w:tcW w:w="3190" w:type="dxa"/>
          </w:tcPr>
          <w:p w:rsid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Число (3,0)</w:t>
            </w:r>
          </w:p>
        </w:tc>
        <w:tc>
          <w:tcPr>
            <w:tcW w:w="3191" w:type="dxa"/>
          </w:tcPr>
          <w:p w:rsidR="00C9586A" w:rsidRDefault="00C9586A" w:rsidP="000148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Номер колонки в файле </w:t>
            </w:r>
            <w:r w:rsidRPr="00C9586A">
              <w:rPr>
                <w:rFonts w:ascii="Arial" w:hAnsi="Arial" w:cs="Arial"/>
              </w:rPr>
              <w:t>*.</w:t>
            </w:r>
            <w:proofErr w:type="spellStart"/>
            <w:r>
              <w:rPr>
                <w:rFonts w:ascii="Arial" w:hAnsi="Arial" w:cs="Arial"/>
                <w:lang w:val="en-US"/>
              </w:rPr>
              <w:t>xls</w:t>
            </w:r>
            <w:proofErr w:type="spellEnd"/>
            <w:r w:rsidRPr="00C958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содержащей информацию </w:t>
            </w:r>
            <w:r>
              <w:rPr>
                <w:rFonts w:ascii="Arial" w:hAnsi="Arial" w:cs="Arial"/>
              </w:rPr>
              <w:t>о количестве номенклатурной позиции</w:t>
            </w:r>
          </w:p>
        </w:tc>
      </w:tr>
    </w:tbl>
    <w:p w:rsidR="00C9586A" w:rsidRPr="00C9586A" w:rsidRDefault="00C9586A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на форме необходима кнопка «Выполнить», которая будет запускать процесс загрузки после заполнения реквизитов формы обработки</w:t>
      </w:r>
      <w:r w:rsidR="00CE6E8E">
        <w:rPr>
          <w:rFonts w:ascii="Arial" w:hAnsi="Arial" w:cs="Arial"/>
        </w:rPr>
        <w:t xml:space="preserve"> «Загрузка товаров поставщика».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является регистратором для регистра сведений «Товары поставщиков», при проведении должны быть сделаны необходимые движения по регистру.</w:t>
      </w:r>
    </w:p>
    <w:p w:rsidR="0001484D" w:rsidRPr="001965DF" w:rsidRDefault="0001484D" w:rsidP="0001484D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Печатные формы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внешние печатные формы для документа «Реализация товаров и услуг»:</w:t>
      </w:r>
    </w:p>
    <w:p w:rsidR="0001484D" w:rsidRPr="00082D1D" w:rsidRDefault="0001484D" w:rsidP="0001484D">
      <w:pPr>
        <w:jc w:val="both"/>
        <w:rPr>
          <w:rFonts w:ascii="Arial" w:hAnsi="Arial" w:cs="Arial"/>
          <w:i/>
          <w:u w:val="single"/>
        </w:rPr>
      </w:pPr>
      <w:r w:rsidRPr="00082D1D">
        <w:rPr>
          <w:rFonts w:ascii="Arial" w:hAnsi="Arial" w:cs="Arial"/>
          <w:i/>
          <w:u w:val="single"/>
        </w:rPr>
        <w:t>Договор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Текст договора стандартный, реквизиты контрагента должны заполняться автоматически.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(Пример договора будет позже)</w:t>
      </w:r>
    </w:p>
    <w:p w:rsidR="0001484D" w:rsidRPr="00082D1D" w:rsidRDefault="0001484D" w:rsidP="0001484D">
      <w:pPr>
        <w:jc w:val="both"/>
        <w:rPr>
          <w:rFonts w:ascii="Arial" w:hAnsi="Arial" w:cs="Arial"/>
          <w:i/>
          <w:u w:val="single"/>
        </w:rPr>
      </w:pPr>
      <w:r w:rsidRPr="00082D1D">
        <w:rPr>
          <w:rFonts w:ascii="Arial" w:hAnsi="Arial" w:cs="Arial"/>
          <w:i/>
          <w:u w:val="single"/>
        </w:rPr>
        <w:t>Гарантийный талон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Гарантийный талон содержит таблицу со списком товаров из табличной части документа, а также информацию о сроках гарантии. Срок гарантии рассчитывается как Дата документа + Срок гарантии, указанный для элемента справочника «Номенклатура».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(Форма гарантийного талона будет позже)</w:t>
      </w:r>
    </w:p>
    <w:p w:rsidR="0001484D" w:rsidRPr="00222D82" w:rsidRDefault="0001484D" w:rsidP="0001484D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  <w:lang w:eastAsia="ru-RU"/>
        </w:rPr>
      </w:pPr>
      <w:r w:rsidRPr="00222D82">
        <w:rPr>
          <w:rFonts w:ascii="Arial" w:hAnsi="Arial" w:cs="Arial"/>
          <w:b/>
          <w:sz w:val="26"/>
          <w:szCs w:val="26"/>
          <w:lang w:eastAsia="ru-RU"/>
        </w:rPr>
        <w:t>Доработка выгрузки на сайт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доработать обработку «Обмен с сайтом». Требуется установить отбор выгружаемых элементов, чтобы номенклатура, у которой не установлен признак «Прайс», не выгружалась на сайт. Дополнительно нужно выгружать следующую информацию о номенклатуре:</w:t>
      </w:r>
    </w:p>
    <w:p w:rsidR="0001484D" w:rsidRDefault="0001484D" w:rsidP="0001484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 гарантии;</w:t>
      </w:r>
    </w:p>
    <w:p w:rsidR="0001484D" w:rsidRDefault="0001484D" w:rsidP="0001484D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Вес.</w:t>
      </w:r>
    </w:p>
    <w:p w:rsidR="0001484D" w:rsidRPr="00222D82" w:rsidRDefault="0001484D" w:rsidP="0001484D">
      <w:pPr>
        <w:numPr>
          <w:ilvl w:val="0"/>
          <w:numId w:val="1"/>
        </w:numPr>
        <w:jc w:val="both"/>
        <w:rPr>
          <w:rFonts w:ascii="Arial" w:hAnsi="Arial" w:cs="Arial"/>
          <w:b/>
          <w:sz w:val="26"/>
          <w:szCs w:val="26"/>
          <w:lang w:eastAsia="ru-RU"/>
        </w:rPr>
      </w:pPr>
      <w:r>
        <w:rPr>
          <w:rFonts w:ascii="Arial" w:hAnsi="Arial" w:cs="Arial"/>
          <w:b/>
          <w:sz w:val="26"/>
          <w:szCs w:val="26"/>
          <w:lang w:eastAsia="ru-RU"/>
        </w:rPr>
        <w:t>Загрузка контрагентов и номенклатуры</w:t>
      </w:r>
    </w:p>
    <w:p w:rsidR="0001484D" w:rsidRPr="00222D82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обработку загрузки данных о номенклатуре и контрагентах из файлов </w:t>
      </w:r>
      <w:r w:rsidRPr="00222D82">
        <w:rPr>
          <w:rFonts w:ascii="Arial" w:hAnsi="Arial" w:cs="Arial"/>
        </w:rPr>
        <w:t>*.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 w:rsidRPr="00222D82">
        <w:rPr>
          <w:rFonts w:ascii="Arial" w:hAnsi="Arial" w:cs="Arial"/>
        </w:rPr>
        <w:t>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Номенклатура представлена в файле с учетом иерархии, отраженной с помощью  группировок </w:t>
      </w:r>
      <w:proofErr w:type="spellStart"/>
      <w:r>
        <w:rPr>
          <w:rFonts w:ascii="Arial" w:hAnsi="Arial" w:cs="Arial"/>
        </w:rPr>
        <w:t>эксель</w:t>
      </w:r>
      <w:proofErr w:type="spellEnd"/>
      <w:r>
        <w:rPr>
          <w:rFonts w:ascii="Arial" w:hAnsi="Arial" w:cs="Arial"/>
        </w:rPr>
        <w:t>.</w:t>
      </w:r>
    </w:p>
    <w:p w:rsidR="0001484D" w:rsidRDefault="0001484D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Также </w:t>
      </w:r>
      <w:r w:rsidR="00CE6E8E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загруз</w:t>
      </w:r>
      <w:r w:rsidR="00CE6E8E">
        <w:rPr>
          <w:rFonts w:ascii="Arial" w:hAnsi="Arial" w:cs="Arial"/>
        </w:rPr>
        <w:t>ке</w:t>
      </w:r>
      <w:r>
        <w:rPr>
          <w:rFonts w:ascii="Arial" w:hAnsi="Arial" w:cs="Arial"/>
        </w:rPr>
        <w:t xml:space="preserve"> данные о контрагентах,</w:t>
      </w:r>
      <w:r w:rsidR="00CE6E8E">
        <w:rPr>
          <w:rFonts w:ascii="Arial" w:hAnsi="Arial" w:cs="Arial"/>
        </w:rPr>
        <w:t xml:space="preserve"> необходимо загружать данные о</w:t>
      </w:r>
      <w:r>
        <w:rPr>
          <w:rFonts w:ascii="Arial" w:hAnsi="Arial" w:cs="Arial"/>
        </w:rPr>
        <w:t xml:space="preserve"> контактных лицах и контактной информации.</w:t>
      </w:r>
    </w:p>
    <w:p w:rsidR="00CE6E8E" w:rsidRPr="00CE6E8E" w:rsidRDefault="00CE6E8E" w:rsidP="000148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(Пример файла </w:t>
      </w:r>
      <w:proofErr w:type="spellStart"/>
      <w:r>
        <w:rPr>
          <w:rFonts w:ascii="Arial" w:hAnsi="Arial" w:cs="Arial"/>
          <w:lang w:val="en-US"/>
        </w:rPr>
        <w:t>xls</w:t>
      </w:r>
      <w:proofErr w:type="spellEnd"/>
      <w:r>
        <w:rPr>
          <w:rFonts w:ascii="Arial" w:hAnsi="Arial" w:cs="Arial"/>
        </w:rPr>
        <w:t xml:space="preserve"> будет позже)</w:t>
      </w:r>
    </w:p>
    <w:p w:rsidR="0001484D" w:rsidRDefault="0001484D" w:rsidP="0001484D">
      <w:bookmarkStart w:id="0" w:name="_GoBack"/>
      <w:bookmarkEnd w:id="0"/>
    </w:p>
    <w:p w:rsidR="00097CF7" w:rsidRDefault="00CE6E8E"/>
    <w:sectPr w:rsidR="0009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22F4"/>
    <w:multiLevelType w:val="hybridMultilevel"/>
    <w:tmpl w:val="46A24050"/>
    <w:lvl w:ilvl="0" w:tplc="DEF4FA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4D"/>
    <w:rsid w:val="0001484D"/>
    <w:rsid w:val="002301D0"/>
    <w:rsid w:val="002A3ADB"/>
    <w:rsid w:val="00641538"/>
    <w:rsid w:val="00820CC2"/>
    <w:rsid w:val="009447F9"/>
    <w:rsid w:val="00C10990"/>
    <w:rsid w:val="00C9586A"/>
    <w:rsid w:val="00CE6E8E"/>
    <w:rsid w:val="00E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148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148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1484D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84D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C95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8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0148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148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1484D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484D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C95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a.ulu</dc:creator>
  <cp:lastModifiedBy>a.ulu</cp:lastModifiedBy>
  <cp:revision>3</cp:revision>
  <dcterms:created xsi:type="dcterms:W3CDTF">2014-06-20T09:07:00Z</dcterms:created>
  <dcterms:modified xsi:type="dcterms:W3CDTF">2014-06-20T10:02:00Z</dcterms:modified>
</cp:coreProperties>
</file>