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Техническое задание по взаимодействию B2B кабинета SKIFAPP с 1С Бухгалтерией.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Взаимодействие B2B кабинета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Занесение в 1С нового контрагента;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B2B кабинет передает сведения о новом контрагенте: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Полное наименование;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Сокращенное наименование;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Адрес;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ОРГН/ИНН/КПП;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ФИО Руководителя;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Дата регистрации;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Статус - действующая/др;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Количество сотрудников;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Налоговая инспекция;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Пенс. Фонд;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ФСС;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ОКВЭД;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ОПФ;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t xml:space="preserve">Учредители (с ИНН);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Реестр МСП;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Система налогообложения;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Уставной капитал;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Доходы;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Расходы;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Недоимки;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Штрафы.</w:t>
      </w:r>
    </w:p>
    <w:p w:rsidR="00000000" w:rsidDel="00000000" w:rsidP="00000000" w:rsidRDefault="00000000" w:rsidRPr="00000000" w14:paraId="0000001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Выше указаны все пункты, которые хранит B2B кабинет. Необязательно передавать в 1С все пункты. Можно передавать только необходимые поля для занесения нового контрагента. 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Формирование договора по шаблону;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B2B кабинет дает команду для 1C сформировать договор по шаблону. В команде содержатся сведения с каким из контрагентов сформировать договор (</w:t>
      </w:r>
      <w:r w:rsidDel="00000000" w:rsidR="00000000" w:rsidRPr="00000000">
        <w:rPr>
          <w:b w:val="1"/>
          <w:rtl w:val="0"/>
        </w:rPr>
        <w:t xml:space="preserve">?ИНН контрагента?</w:t>
      </w:r>
      <w:r w:rsidDel="00000000" w:rsidR="00000000" w:rsidRPr="00000000">
        <w:rPr>
          <w:rtl w:val="0"/>
        </w:rPr>
        <w:t xml:space="preserve">), на какое </w:t>
      </w:r>
      <w:r w:rsidDel="00000000" w:rsidR="00000000" w:rsidRPr="00000000">
        <w:rPr>
          <w:b w:val="1"/>
          <w:rtl w:val="0"/>
        </w:rPr>
        <w:t xml:space="preserve">количество объектов</w:t>
      </w:r>
      <w:r w:rsidDel="00000000" w:rsidR="00000000" w:rsidRPr="00000000">
        <w:rPr>
          <w:rtl w:val="0"/>
        </w:rPr>
        <w:t xml:space="preserve"> сформировать договор, на какую </w:t>
      </w:r>
      <w:r w:rsidDel="00000000" w:rsidR="00000000" w:rsidRPr="00000000">
        <w:rPr>
          <w:b w:val="1"/>
          <w:rtl w:val="0"/>
        </w:rPr>
        <w:t xml:space="preserve">сумму</w:t>
      </w:r>
      <w:r w:rsidDel="00000000" w:rsidR="00000000" w:rsidRPr="00000000">
        <w:rPr>
          <w:rtl w:val="0"/>
        </w:rPr>
        <w:t xml:space="preserve"> сформировать договор. На стороне 1С формируется договор, проставляется дата и номер договора (</w:t>
      </w:r>
      <w:r w:rsidDel="00000000" w:rsidR="00000000" w:rsidRPr="00000000">
        <w:rPr>
          <w:b w:val="1"/>
          <w:rtl w:val="0"/>
        </w:rPr>
        <w:t xml:space="preserve">?или эта информация должна приходить от кабинета?</w:t>
      </w:r>
      <w:r w:rsidDel="00000000" w:rsidR="00000000" w:rsidRPr="00000000">
        <w:rPr>
          <w:rtl w:val="0"/>
        </w:rPr>
        <w:t xml:space="preserve">), проставляются реквизиты контрагента, ФИО руководителя в нужном падеже, вставляется фото печати и подписи SKIFAPP. Данный договор, 1С хранит у себя и дает путь к нему для B2B кабинета, чтобы пользователь B2B кабинета мог скачать этот договор по ссылке.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Если есть возможность реализовать автоматическую подпись договора при помощи ЭЦП, было бы замечательно.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Формирование дополнительного соглашения к договору;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B2B кабинет дает команду для 1C сформировать дополнительное соглашение к договору по шаблону.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Формирование Счета на оплату по шаблону;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Счета генерируются в трех случаях: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Случай 1.</w:t>
      </w:r>
      <w:r w:rsidDel="00000000" w:rsidR="00000000" w:rsidRPr="00000000">
        <w:rPr>
          <w:rtl w:val="0"/>
        </w:rPr>
        <w:t xml:space="preserve"> Новый контрагент, новый договор. Выставляется первый счет.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Случай 2. </w:t>
      </w:r>
      <w:r w:rsidDel="00000000" w:rsidR="00000000" w:rsidRPr="00000000">
        <w:rPr>
          <w:rtl w:val="0"/>
        </w:rPr>
        <w:t xml:space="preserve">Действующий контрагент, по которому уже идут взаиморасчеты, заключил дополнительное соглашение - купил дополнительное количество объектов. Условно, в договоре их было 100. Контрагент закупил еще 20. Генерируется счет за 20 объектов, но с учетом оставшихся календарных дней в месяце.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Случай 3.</w:t>
      </w:r>
      <w:r w:rsidDel="00000000" w:rsidR="00000000" w:rsidRPr="00000000">
        <w:rPr>
          <w:rtl w:val="0"/>
        </w:rPr>
        <w:t xml:space="preserve"> Конец месяца - генерируются счета для всех контрагентов. Счета для контрагентов выставляются ежемесячно, наподобие абонентской платы. Условно, за 1 объект ежемесячная плата составляет NN рублей. Соответственно, за XX объектов, выставляется счет в размере XX * NN рублей. При этом должно учитываться актуальное количество объектов, с учетом доп соглашений на текущий момент.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Вариант 1.</w:t>
      </w:r>
      <w:r w:rsidDel="00000000" w:rsidR="00000000" w:rsidRPr="00000000">
        <w:rPr>
          <w:rtl w:val="0"/>
        </w:rPr>
        <w:t xml:space="preserve"> 1С автоматически ежемесячно самостоятельно генерирует счета на оплату, хранит их у себя и/или передает их в B2B кабинет - доступными для скачивания по ссылке.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Вариант 2.</w:t>
      </w:r>
      <w:r w:rsidDel="00000000" w:rsidR="00000000" w:rsidRPr="00000000">
        <w:rPr>
          <w:rtl w:val="0"/>
        </w:rPr>
        <w:t xml:space="preserve"> 1С генерирует счета по команде от B2B кабинета, хранит их у себя и/или передает их в B2B кабинет - доступными для скачивания по ссылке.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Формирование закрывающих документов;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По итогу месяца 1С генерирует закрывающие документы по факту оказанных услуг по количеству купленных объектов. 1С хранит их у себя и/или передает их в B2B кабинет - доступными для скачивания по ссылке.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Иная информация;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Базу 1С предполагается хранить в облаке. Например, здесь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https://rarus.ru/services/cloud/server1c/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Предполагается настроить взаимодействие 1С с обслуживающим банком при помощи 1С:ДиректБанк. Движения по расчетному счету сразу попадают в 1С и разносятся по контрагентам. При поступлении денежных средств от контрагента, 1С передает эти сведения в B2B кабинет (</w:t>
      </w:r>
      <w:r w:rsidDel="00000000" w:rsidR="00000000" w:rsidRPr="00000000">
        <w:rPr>
          <w:b w:val="1"/>
          <w:rtl w:val="0"/>
        </w:rPr>
        <w:t xml:space="preserve">?ИНН - идентификатор, номер счета из деталей платежа?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Оплата также может происходить при помощи банковских карт в B2B кабинете. При этом B2B кабинет передает информацию о поступившем платеже в 1С - от какого контрагента поступил платеж (</w:t>
      </w:r>
      <w:r w:rsidDel="00000000" w:rsidR="00000000" w:rsidRPr="00000000">
        <w:rPr>
          <w:b w:val="1"/>
          <w:rtl w:val="0"/>
        </w:rPr>
        <w:t xml:space="preserve">?какая еще информация может потребоваться?</w:t>
      </w:r>
      <w:r w:rsidDel="00000000" w:rsidR="00000000" w:rsidRPr="00000000">
        <w:rPr>
          <w:rtl w:val="0"/>
        </w:rPr>
        <w:t xml:space="preserve">). При этом сами денежные средства, как правило, поступают на расчетный счет от компании-эквайера (не от контрагента) на третий банковский день после совершения платежа картой и снятия денежных средств с карты плательщика.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=========================== для справки============================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работы компании: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Дано: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Компания - разработчик (далее - </w:t>
      </w:r>
      <w:r w:rsidDel="00000000" w:rsidR="00000000" w:rsidRPr="00000000">
        <w:rPr>
          <w:b w:val="1"/>
          <w:rtl w:val="0"/>
        </w:rPr>
        <w:t xml:space="preserve">разработчик</w:t>
      </w:r>
      <w:r w:rsidDel="00000000" w:rsidR="00000000" w:rsidRPr="00000000">
        <w:rPr>
          <w:rtl w:val="0"/>
        </w:rPr>
        <w:t xml:space="preserve">), одним из решений которой является платформа для спутникового мониторинга транспортных средств - строительной и спецтехники, пассажирского транспорта, личного и иного автотранспорта. В том числе контроль маршрутов, использования ГСМ, контроль стиля вождения и прочее.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Компания планирует продавать свои услуги компаниям-интеграторам (далее - </w:t>
      </w:r>
      <w:r w:rsidDel="00000000" w:rsidR="00000000" w:rsidRPr="00000000">
        <w:rPr>
          <w:b w:val="1"/>
          <w:rtl w:val="0"/>
        </w:rPr>
        <w:t xml:space="preserve">интегратор</w:t>
      </w:r>
      <w:r w:rsidDel="00000000" w:rsidR="00000000" w:rsidRPr="00000000">
        <w:rPr>
          <w:rtl w:val="0"/>
        </w:rPr>
        <w:t xml:space="preserve">), которые, в свою очередь, продают услуги мониторинга конечным потребителям - юридическим и физическим лицам. </w:t>
      </w:r>
      <w:r w:rsidDel="00000000" w:rsidR="00000000" w:rsidRPr="00000000">
        <w:rPr>
          <w:b w:val="1"/>
          <w:rtl w:val="0"/>
        </w:rPr>
        <w:t xml:space="preserve">Разработчик </w:t>
      </w:r>
      <w:r w:rsidDel="00000000" w:rsidR="00000000" w:rsidRPr="00000000">
        <w:rPr>
          <w:rtl w:val="0"/>
        </w:rPr>
        <w:t xml:space="preserve">осуществляет в том числе техническую поддержку для </w:t>
      </w:r>
      <w:r w:rsidDel="00000000" w:rsidR="00000000" w:rsidRPr="00000000">
        <w:rPr>
          <w:b w:val="1"/>
          <w:rtl w:val="0"/>
        </w:rPr>
        <w:t xml:space="preserve">интеграторов</w:t>
      </w:r>
      <w:r w:rsidDel="00000000" w:rsidR="00000000" w:rsidRPr="00000000">
        <w:rPr>
          <w:rtl w:val="0"/>
        </w:rPr>
        <w:t xml:space="preserve">, а также выполняет задания по доработке программного комплекса мониторинга по заданию </w:t>
      </w:r>
      <w:r w:rsidDel="00000000" w:rsidR="00000000" w:rsidRPr="00000000">
        <w:rPr>
          <w:b w:val="1"/>
          <w:rtl w:val="0"/>
        </w:rPr>
        <w:t xml:space="preserve">интеграторов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На сегодняшний день есть три таких </w:t>
      </w:r>
      <w:r w:rsidDel="00000000" w:rsidR="00000000" w:rsidRPr="00000000">
        <w:rPr>
          <w:b w:val="1"/>
          <w:rtl w:val="0"/>
        </w:rPr>
        <w:t xml:space="preserve">интегратора</w:t>
      </w:r>
      <w:r w:rsidDel="00000000" w:rsidR="00000000" w:rsidRPr="00000000">
        <w:rPr>
          <w:rtl w:val="0"/>
        </w:rPr>
        <w:t xml:space="preserve">. Так как </w:t>
      </w:r>
      <w:r w:rsidDel="00000000" w:rsidR="00000000" w:rsidRPr="00000000">
        <w:rPr>
          <w:b w:val="1"/>
          <w:rtl w:val="0"/>
        </w:rPr>
        <w:t xml:space="preserve">разработчик </w:t>
      </w:r>
      <w:r w:rsidDel="00000000" w:rsidR="00000000" w:rsidRPr="00000000">
        <w:rPr>
          <w:rtl w:val="0"/>
        </w:rPr>
        <w:t xml:space="preserve">находится в дружественных и партнерских взаимоотношениях с </w:t>
      </w:r>
      <w:r w:rsidDel="00000000" w:rsidR="00000000" w:rsidRPr="00000000">
        <w:rPr>
          <w:b w:val="1"/>
          <w:rtl w:val="0"/>
        </w:rPr>
        <w:t xml:space="preserve">интеграторами</w:t>
      </w:r>
      <w:r w:rsidDel="00000000" w:rsidR="00000000" w:rsidRPr="00000000">
        <w:rPr>
          <w:rtl w:val="0"/>
        </w:rPr>
        <w:t xml:space="preserve">, а также в связи с тем, что платформа мониторинга находится в финальной стадии доработки, финансовых взаимоотношений между </w:t>
      </w:r>
      <w:r w:rsidDel="00000000" w:rsidR="00000000" w:rsidRPr="00000000">
        <w:rPr>
          <w:b w:val="1"/>
          <w:rtl w:val="0"/>
        </w:rPr>
        <w:t xml:space="preserve">разработчиком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b w:val="1"/>
          <w:rtl w:val="0"/>
        </w:rPr>
        <w:t xml:space="preserve">интеграторами </w:t>
      </w:r>
      <w:r w:rsidDel="00000000" w:rsidR="00000000" w:rsidRPr="00000000">
        <w:rPr>
          <w:rtl w:val="0"/>
        </w:rPr>
        <w:t xml:space="preserve">нет.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С 2020 года </w:t>
      </w:r>
      <w:r w:rsidDel="00000000" w:rsidR="00000000" w:rsidRPr="00000000">
        <w:rPr>
          <w:b w:val="1"/>
          <w:rtl w:val="0"/>
        </w:rPr>
        <w:t xml:space="preserve">разработчиком </w:t>
      </w:r>
      <w:r w:rsidDel="00000000" w:rsidR="00000000" w:rsidRPr="00000000">
        <w:rPr>
          <w:rtl w:val="0"/>
        </w:rPr>
        <w:t xml:space="preserve">планируется выставлять счета </w:t>
      </w:r>
      <w:r w:rsidDel="00000000" w:rsidR="00000000" w:rsidRPr="00000000">
        <w:rPr>
          <w:b w:val="1"/>
          <w:rtl w:val="0"/>
        </w:rPr>
        <w:t xml:space="preserve">интеграторам</w:t>
      </w:r>
      <w:r w:rsidDel="00000000" w:rsidR="00000000" w:rsidRPr="00000000">
        <w:rPr>
          <w:rtl w:val="0"/>
        </w:rPr>
        <w:t xml:space="preserve">, а также осуществлять поиск других </w:t>
      </w:r>
      <w:r w:rsidDel="00000000" w:rsidR="00000000" w:rsidRPr="00000000">
        <w:rPr>
          <w:b w:val="1"/>
          <w:rtl w:val="0"/>
        </w:rPr>
        <w:t xml:space="preserve">интеграторов </w:t>
      </w:r>
      <w:r w:rsidDel="00000000" w:rsidR="00000000" w:rsidRPr="00000000">
        <w:rPr>
          <w:rtl w:val="0"/>
        </w:rPr>
        <w:t xml:space="preserve">в других регионах РФ.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Оплата от </w:t>
      </w:r>
      <w:r w:rsidDel="00000000" w:rsidR="00000000" w:rsidRPr="00000000">
        <w:rPr>
          <w:b w:val="1"/>
          <w:rtl w:val="0"/>
        </w:rPr>
        <w:t xml:space="preserve">интеграторов </w:t>
      </w:r>
      <w:r w:rsidDel="00000000" w:rsidR="00000000" w:rsidRPr="00000000">
        <w:rPr>
          <w:rtl w:val="0"/>
        </w:rPr>
        <w:t xml:space="preserve">будет осуществляться в виде абонентской платы в размере NN рублей за один каждый </w:t>
      </w:r>
      <w:r w:rsidDel="00000000" w:rsidR="00000000" w:rsidRPr="00000000">
        <w:rPr>
          <w:b w:val="1"/>
          <w:rtl w:val="0"/>
        </w:rPr>
        <w:t xml:space="preserve">объект </w:t>
      </w:r>
      <w:r w:rsidDel="00000000" w:rsidR="00000000" w:rsidRPr="00000000">
        <w:rPr>
          <w:rtl w:val="0"/>
        </w:rPr>
        <w:t xml:space="preserve">в месяц. Под одним </w:t>
      </w:r>
      <w:r w:rsidDel="00000000" w:rsidR="00000000" w:rsidRPr="00000000">
        <w:rPr>
          <w:b w:val="1"/>
          <w:rtl w:val="0"/>
        </w:rPr>
        <w:t xml:space="preserve">объектом </w:t>
      </w:r>
      <w:r w:rsidDel="00000000" w:rsidR="00000000" w:rsidRPr="00000000">
        <w:rPr>
          <w:rtl w:val="0"/>
        </w:rPr>
        <w:t xml:space="preserve">в рамках настоящего технического задания стоит понимать услуги по мониторингу одной транспортной единицы в месяц. Следовательно, услуги по мониторингу десяти транспортных средств будет равно 10 * NN рублей в месяц, соответственно.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В этих целях необходимо реализовать возможность автоматизации процесса оплаты от </w:t>
      </w:r>
      <w:r w:rsidDel="00000000" w:rsidR="00000000" w:rsidRPr="00000000">
        <w:rPr>
          <w:b w:val="1"/>
          <w:rtl w:val="0"/>
        </w:rPr>
        <w:t xml:space="preserve">интеграторов </w:t>
      </w:r>
      <w:r w:rsidDel="00000000" w:rsidR="00000000" w:rsidRPr="00000000">
        <w:rPr>
          <w:rtl w:val="0"/>
        </w:rPr>
        <w:t xml:space="preserve">в пользу </w:t>
      </w:r>
      <w:r w:rsidDel="00000000" w:rsidR="00000000" w:rsidRPr="00000000">
        <w:rPr>
          <w:b w:val="1"/>
          <w:rtl w:val="0"/>
        </w:rPr>
        <w:t xml:space="preserve">разработчика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Предполагаемое решение: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B2B кабинет, доступ в который возможен на сайте </w:t>
      </w:r>
      <w:r w:rsidDel="00000000" w:rsidR="00000000" w:rsidRPr="00000000">
        <w:rPr>
          <w:b w:val="1"/>
          <w:rtl w:val="0"/>
        </w:rPr>
        <w:t xml:space="preserve">разработчика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Разработчик </w:t>
      </w:r>
      <w:r w:rsidDel="00000000" w:rsidR="00000000" w:rsidRPr="00000000">
        <w:rPr>
          <w:i w:val="1"/>
          <w:sz w:val="20"/>
          <w:szCs w:val="20"/>
          <w:rtl w:val="0"/>
        </w:rPr>
        <w:t xml:space="preserve">имеет техническую возможность разработки (дизайна, верстки, программирования) B2B кабинета и настройки взаимодействия B2B кабинета со сторонними службами - Бухгалтерией, CRM (если таковое понадобится).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566.9291338582677" w:left="708.6614173228347" w:right="858.54330708661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arus.ru/services/cloud/server1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