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rPr/>
      </w:pPr>
      <w:bookmarkStart w:colFirst="0" w:colLast="0" w:name="_54xcs9mu4s1w" w:id="0"/>
      <w:bookmarkEnd w:id="0"/>
      <w:r w:rsidDel="00000000" w:rsidR="00000000" w:rsidRPr="00000000">
        <w:rPr>
          <w:rtl w:val="0"/>
        </w:rPr>
        <w:t xml:space="preserve">Техническое задание</w:t>
      </w:r>
    </w:p>
    <w:p w:rsidR="00000000" w:rsidDel="00000000" w:rsidP="00000000" w:rsidRDefault="00000000" w:rsidRPr="00000000" w14:paraId="00000002">
      <w:pPr>
        <w:pStyle w:val="Heading3"/>
        <w:rPr/>
      </w:pPr>
      <w:bookmarkStart w:colFirst="0" w:colLast="0" w:name="_ncibhnldnfq2" w:id="1"/>
      <w:bookmarkEnd w:id="1"/>
      <w:r w:rsidDel="00000000" w:rsidR="00000000" w:rsidRPr="00000000">
        <w:rPr>
          <w:rtl w:val="0"/>
        </w:rPr>
        <w:t xml:space="preserve">Версии программных продуктов: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Комплексная автоматизация 2.4. (версия 2.4.13.85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Зарплата и управление персоналом 3 КОРП (версия 3.1.16.77)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Реальные конфигурации доработанные, но задание выполнять на типовых.</w:t>
      </w:r>
    </w:p>
    <w:p w:rsidR="00000000" w:rsidDel="00000000" w:rsidP="00000000" w:rsidRDefault="00000000" w:rsidRPr="00000000" w14:paraId="00000006">
      <w:pPr>
        <w:pStyle w:val="Heading3"/>
        <w:rPr/>
      </w:pPr>
      <w:bookmarkStart w:colFirst="0" w:colLast="0" w:name="_x5pvr7osx9nl" w:id="2"/>
      <w:bookmarkEnd w:id="2"/>
      <w:r w:rsidDel="00000000" w:rsidR="00000000" w:rsidRPr="00000000">
        <w:rPr>
          <w:rtl w:val="0"/>
        </w:rPr>
        <w:t xml:space="preserve">Видение результата выполнения задания: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Текст поля “Назначение платежа” контролируется специалистами в ЗУП и не требует дополнительного редактирования специалистами в КА.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Специалист работающий в КА может сформировать реестр для загрузки данных о зарплате в клиент-банк не входя в ЗУП.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Типовые правила обмена КА - ЗУП не изменены.</w:t>
      </w:r>
    </w:p>
    <w:p w:rsidR="00000000" w:rsidDel="00000000" w:rsidP="00000000" w:rsidRDefault="00000000" w:rsidRPr="00000000" w14:paraId="0000000A">
      <w:pPr>
        <w:pStyle w:val="Heading3"/>
        <w:rPr/>
      </w:pPr>
      <w:bookmarkStart w:colFirst="0" w:colLast="0" w:name="_i51q4v8rr2n2" w:id="3"/>
      <w:bookmarkEnd w:id="3"/>
      <w:r w:rsidDel="00000000" w:rsidR="00000000" w:rsidRPr="00000000">
        <w:rPr>
          <w:rtl w:val="0"/>
        </w:rPr>
        <w:t xml:space="preserve">Доработки на стороне ЗУП</w:t>
      </w:r>
    </w:p>
    <w:p w:rsidR="00000000" w:rsidDel="00000000" w:rsidP="00000000" w:rsidRDefault="00000000" w:rsidRPr="00000000" w14:paraId="0000000B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Сделать дополнительный реквизит “Назначение платежа” в документе Ведомость банк. Реквизит с неограниченным количеством символов. Подлежит ручному редактированию</w:t>
        <w:br w:type="textWrapping"/>
      </w:r>
      <w:r w:rsidDel="00000000" w:rsidR="00000000" w:rsidRPr="00000000">
        <w:rPr/>
        <w:drawing>
          <wp:inline distB="114300" distT="114300" distL="114300" distR="114300">
            <wp:extent cx="5731200" cy="2120900"/>
            <wp:effectExtent b="0" l="0" r="0" t="0"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120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Сделать регистр сведений  для автоматического заполнения реквизита “Назначение платежа”. На форме регистра должен быть выбор Зарплатного проекта и текстовое поле шаблоном текста для заполнения реквизита “Назначение платежа”</w:t>
        <w:br w:type="textWrapping"/>
      </w:r>
      <w:r w:rsidDel="00000000" w:rsidR="00000000" w:rsidRPr="00000000">
        <w:rPr/>
        <w:drawing>
          <wp:inline distB="114300" distT="114300" distL="114300" distR="114300">
            <wp:extent cx="5334000" cy="1162050"/>
            <wp:effectExtent b="0" l="0" r="0" t="0"/>
            <wp:docPr id="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1162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  <w:t xml:space="preserve">Пример : Для зачисления по реестру №</w:t>
      </w:r>
      <w:r w:rsidDel="00000000" w:rsidR="00000000" w:rsidRPr="00000000">
        <w:rPr>
          <w:b w:val="1"/>
          <w:rtl w:val="0"/>
        </w:rPr>
        <w:t xml:space="preserve">&lt;Номер реестра&gt;</w:t>
      </w:r>
      <w:r w:rsidDel="00000000" w:rsidR="00000000" w:rsidRPr="00000000">
        <w:rPr>
          <w:rtl w:val="0"/>
        </w:rPr>
        <w:t xml:space="preserve"> от </w:t>
      </w:r>
      <w:r w:rsidDel="00000000" w:rsidR="00000000" w:rsidRPr="00000000">
        <w:rPr>
          <w:b w:val="1"/>
          <w:rtl w:val="0"/>
        </w:rPr>
        <w:t xml:space="preserve">&lt;Дата ведомости&gt; </w:t>
      </w:r>
      <w:r w:rsidDel="00000000" w:rsidR="00000000" w:rsidRPr="00000000">
        <w:rPr>
          <w:rtl w:val="0"/>
        </w:rPr>
        <w:t xml:space="preserve">в соответствии с договором </w:t>
      </w:r>
      <w:r w:rsidDel="00000000" w:rsidR="00000000" w:rsidRPr="00000000">
        <w:rPr>
          <w:b w:val="1"/>
          <w:rtl w:val="0"/>
        </w:rPr>
        <w:t xml:space="preserve">&lt;Номер договора зарплатного проекта&gt;</w:t>
      </w:r>
      <w:r w:rsidDel="00000000" w:rsidR="00000000" w:rsidRPr="00000000">
        <w:rPr>
          <w:rtl w:val="0"/>
        </w:rPr>
        <w:t xml:space="preserve"> от </w:t>
      </w:r>
      <w:r w:rsidDel="00000000" w:rsidR="00000000" w:rsidRPr="00000000">
        <w:rPr>
          <w:b w:val="1"/>
          <w:rtl w:val="0"/>
        </w:rPr>
        <w:t xml:space="preserve">&lt;Дата договора зарплатного проекта&gt;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b w:val="1"/>
          <w:rtl w:val="0"/>
        </w:rPr>
        <w:t xml:space="preserve">&lt;Основание ведомости &gt;</w:t>
      </w:r>
      <w:r w:rsidDel="00000000" w:rsidR="00000000" w:rsidRPr="00000000">
        <w:rPr>
          <w:rtl w:val="0"/>
        </w:rPr>
        <w:t xml:space="preserve">.Без налога НДС.</w:t>
      </w:r>
    </w:p>
    <w:p w:rsidR="00000000" w:rsidDel="00000000" w:rsidP="00000000" w:rsidRDefault="00000000" w:rsidRPr="00000000" w14:paraId="0000000D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Номер реестра, Дата ведомости, Основание ведомости-берем из самого документа “Ведомость в банк”</w:t>
      </w:r>
    </w:p>
    <w:p w:rsidR="00000000" w:rsidDel="00000000" w:rsidP="00000000" w:rsidRDefault="00000000" w:rsidRPr="00000000" w14:paraId="0000000F">
      <w:pPr>
        <w:ind w:left="720" w:firstLine="0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5731200" cy="23749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374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Номер и дату договора зарплатного проекта берем из элемента Зарплатный проект в соответствующем справочнике.ссылка на элемент присутствует в самой ведомости.:</w:t>
        <w:br w:type="textWrapping"/>
      </w:r>
      <w:r w:rsidDel="00000000" w:rsidR="00000000" w:rsidRPr="00000000">
        <w:rPr/>
        <w:drawing>
          <wp:inline distB="114300" distT="114300" distL="114300" distR="114300">
            <wp:extent cx="5731200" cy="3263900"/>
            <wp:effectExtent b="0" l="0" r="0" t="0"/>
            <wp:docPr id="1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63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Реквизит “Назначение платежа” заполняется из регистра при создании документа</w:t>
        <w:br w:type="textWrapping"/>
      </w:r>
    </w:p>
    <w:p w:rsidR="00000000" w:rsidDel="00000000" w:rsidP="00000000" w:rsidRDefault="00000000" w:rsidRPr="00000000" w14:paraId="00000011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jc w:val="both"/>
        <w:rPr/>
      </w:pPr>
      <w:bookmarkStart w:colFirst="0" w:colLast="0" w:name="_yenoa3rqomit" w:id="4"/>
      <w:bookmarkEnd w:id="4"/>
      <w:r w:rsidDel="00000000" w:rsidR="00000000" w:rsidRPr="00000000">
        <w:rPr>
          <w:rtl w:val="0"/>
        </w:rPr>
        <w:t xml:space="preserve">Интеграция ЗУП - КА</w:t>
        <w:br w:type="textWrapping"/>
      </w:r>
    </w:p>
    <w:p w:rsidR="00000000" w:rsidDel="00000000" w:rsidP="00000000" w:rsidRDefault="00000000" w:rsidRPr="00000000" w14:paraId="00000013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Ведомость в банк синхронизируется из ЗУП 3 в КА 1. В КА 1 на основании ведомости автоматически создается заявка на расходование денежных средств. Реквизит “Назначение платежа” синхронизируется в поле “Комментарий в заявке на расходование денежных средств”</w:t>
      </w:r>
    </w:p>
    <w:p w:rsidR="00000000" w:rsidDel="00000000" w:rsidP="00000000" w:rsidRDefault="00000000" w:rsidRPr="00000000" w14:paraId="00000014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jc w:val="both"/>
        <w:rPr/>
      </w:pPr>
      <w:bookmarkStart w:colFirst="0" w:colLast="0" w:name="_1bwlpkqin6da" w:id="5"/>
      <w:bookmarkEnd w:id="5"/>
      <w:r w:rsidDel="00000000" w:rsidR="00000000" w:rsidRPr="00000000">
        <w:rPr>
          <w:rtl w:val="0"/>
        </w:rPr>
        <w:t xml:space="preserve">Доработки на стороне КА</w:t>
      </w: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В обработку “Безналичные платежи” добавить  отбор по организации. Добавить вкладку Реестры на заработную плату</w:t>
      </w:r>
    </w:p>
    <w:p w:rsidR="00000000" w:rsidDel="00000000" w:rsidP="00000000" w:rsidRDefault="00000000" w:rsidRPr="00000000" w14:paraId="00000017">
      <w:pPr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jc w:val="both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731200" cy="102870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028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На форме вкладки  существуют отборы:</w:t>
      </w:r>
    </w:p>
    <w:p w:rsidR="00000000" w:rsidDel="00000000" w:rsidP="00000000" w:rsidRDefault="00000000" w:rsidRPr="00000000" w14:paraId="0000001A">
      <w:pPr>
        <w:ind w:left="0" w:firstLine="0"/>
        <w:jc w:val="both"/>
        <w:rPr/>
      </w:pPr>
      <w:r w:rsidDel="00000000" w:rsidR="00000000" w:rsidRPr="00000000">
        <w:rPr>
          <w:b w:val="1"/>
          <w:rtl w:val="0"/>
        </w:rPr>
        <w:t xml:space="preserve">период </w:t>
      </w:r>
      <w:r w:rsidDel="00000000" w:rsidR="00000000" w:rsidRPr="00000000">
        <w:rPr>
          <w:rtl w:val="0"/>
        </w:rPr>
        <w:t xml:space="preserve">с,,,,, по ,,,,,</w:t>
        <w:br w:type="textWrapping"/>
      </w:r>
      <w:r w:rsidDel="00000000" w:rsidR="00000000" w:rsidRPr="00000000">
        <w:rPr>
          <w:b w:val="1"/>
          <w:rtl w:val="0"/>
        </w:rPr>
        <w:t xml:space="preserve">вид платежного поручения </w:t>
      </w:r>
      <w:r w:rsidDel="00000000" w:rsidR="00000000" w:rsidRPr="00000000">
        <w:rPr>
          <w:rtl w:val="0"/>
        </w:rPr>
        <w:t xml:space="preserve">(автоматом выбирается “Выплата по ведомости по зарплатному проекту”)</w:t>
      </w:r>
    </w:p>
    <w:p w:rsidR="00000000" w:rsidDel="00000000" w:rsidP="00000000" w:rsidRDefault="00000000" w:rsidRPr="00000000" w14:paraId="0000001B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Табличная часть заполняется платежными поручениями, согласно отборам.</w:t>
      </w:r>
    </w:p>
    <w:p w:rsidR="00000000" w:rsidDel="00000000" w:rsidP="00000000" w:rsidRDefault="00000000" w:rsidRPr="00000000" w14:paraId="0000001C">
      <w:pPr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Над ТЧ кнопка выгрузить реестр</w:t>
      </w:r>
    </w:p>
    <w:p w:rsidR="00000000" w:rsidDel="00000000" w:rsidP="00000000" w:rsidRDefault="00000000" w:rsidRPr="00000000" w14:paraId="0000001E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Колонки табличной части:</w:t>
      </w:r>
    </w:p>
    <w:p w:rsidR="00000000" w:rsidDel="00000000" w:rsidP="00000000" w:rsidRDefault="00000000" w:rsidRPr="00000000" w14:paraId="00000020">
      <w:pPr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Выгружен(да/нет)</w:t>
      </w:r>
    </w:p>
    <w:p w:rsidR="00000000" w:rsidDel="00000000" w:rsidP="00000000" w:rsidRDefault="00000000" w:rsidRPr="00000000" w14:paraId="00000021">
      <w:pPr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Дата п/п</w:t>
      </w:r>
    </w:p>
    <w:p w:rsidR="00000000" w:rsidDel="00000000" w:rsidP="00000000" w:rsidRDefault="00000000" w:rsidRPr="00000000" w14:paraId="00000022">
      <w:pPr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Платежное поручение (с возможностью открывать сам документ)</w:t>
      </w:r>
    </w:p>
    <w:p w:rsidR="00000000" w:rsidDel="00000000" w:rsidP="00000000" w:rsidRDefault="00000000" w:rsidRPr="00000000" w14:paraId="00000023">
      <w:pPr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Назначение платежа</w:t>
      </w:r>
    </w:p>
    <w:p w:rsidR="00000000" w:rsidDel="00000000" w:rsidP="00000000" w:rsidRDefault="00000000" w:rsidRPr="00000000" w14:paraId="00000024">
      <w:pPr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Сумма</w:t>
        <w:br w:type="textWrapping"/>
      </w:r>
    </w:p>
    <w:p w:rsidR="00000000" w:rsidDel="00000000" w:rsidP="00000000" w:rsidRDefault="00000000" w:rsidRPr="00000000" w14:paraId="00000025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При нажатии кнопки “выгрузить реестр” КА 2 обращается к ЗУП 3 собирает реестр по формату, открывается окно, для указания места сохранения, после нажатии кнопки сохранить, реестр сохраняется в указанную папку. в Колонке “Выгружен” ставится значение “ДА”. “Выгружен” не является реквизитом документа, а хранится в дополнительном регистре.</w:t>
      </w:r>
    </w:p>
    <w:p w:rsidR="00000000" w:rsidDel="00000000" w:rsidP="00000000" w:rsidRDefault="00000000" w:rsidRPr="00000000" w14:paraId="00000026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Особенности реестров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720" w:hanging="360"/>
        <w:jc w:val="both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Сбербанк</w:t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  <w:t xml:space="preserve">В реестре по сбербанку должен быть указан номер платежного поручения. Поэтому при нажатии кнопки “Выгрузить реестр” в зуп должен прийти номер платежного поручения и отобразится прям в реестре. формат реестра</w:t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5731200" cy="1803400"/>
            <wp:effectExtent b="0" l="0" r="0" t="0"/>
            <wp:docPr id="7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803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ind w:left="72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Райффайзенбанк</w:t>
      </w:r>
    </w:p>
    <w:p w:rsidR="00000000" w:rsidDel="00000000" w:rsidP="00000000" w:rsidRDefault="00000000" w:rsidRPr="00000000" w14:paraId="0000002D">
      <w:pPr>
        <w:ind w:left="720" w:firstLine="0"/>
        <w:rPr/>
      </w:pPr>
      <w:r w:rsidDel="00000000" w:rsidR="00000000" w:rsidRPr="00000000">
        <w:rPr>
          <w:rtl w:val="0"/>
        </w:rPr>
        <w:t xml:space="preserve">Нет особенностей, можно формировать стандартными средствами</w:t>
      </w:r>
    </w:p>
    <w:p w:rsidR="00000000" w:rsidDel="00000000" w:rsidP="00000000" w:rsidRDefault="00000000" w:rsidRPr="00000000" w14:paraId="0000002E">
      <w:pPr>
        <w:ind w:left="720" w:firstLine="0"/>
        <w:rPr/>
      </w:pPr>
      <w:r w:rsidDel="00000000" w:rsidR="00000000" w:rsidRPr="00000000">
        <w:rPr/>
        <w:drawing>
          <wp:inline distB="114300" distT="114300" distL="114300" distR="114300">
            <wp:extent cx="5731200" cy="2438400"/>
            <wp:effectExtent b="0" l="0" r="0" t="0"/>
            <wp:docPr id="4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438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ВТБ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У втб свой формат реестров, стандартная форма не подходит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720" w:firstLine="0"/>
        <w:rPr/>
      </w:pPr>
      <w:r w:rsidDel="00000000" w:rsidR="00000000" w:rsidRPr="00000000">
        <w:rPr/>
        <w:drawing>
          <wp:inline distB="114300" distT="114300" distL="114300" distR="114300">
            <wp:extent cx="5731200" cy="571500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571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720" w:firstLine="0"/>
        <w:rPr/>
      </w:pPr>
      <w:r w:rsidDel="00000000" w:rsidR="00000000" w:rsidRPr="00000000">
        <w:rPr>
          <w:rtl w:val="0"/>
        </w:rPr>
        <w:t xml:space="preserve">Лицевой счет, сумма выплаты, ФИО, СНИЛС, код выплаты сумма удержаний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3.png"/><Relationship Id="rId13" Type="http://schemas.openxmlformats.org/officeDocument/2006/relationships/image" Target="media/image5.png"/><Relationship Id="rId12" Type="http://schemas.openxmlformats.org/officeDocument/2006/relationships/image" Target="media/image7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