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689" w:rsidRDefault="00BC4F83">
      <w:pPr>
        <w:pStyle w:val="1"/>
        <w:jc w:val="center"/>
      </w:pPr>
      <w:bookmarkStart w:id="0" w:name="_bc9a3810enca" w:colFirst="0" w:colLast="0"/>
      <w:bookmarkEnd w:id="0"/>
      <w:r>
        <w:t>Отчет “Детализация по отделу снабжения”</w:t>
      </w:r>
    </w:p>
    <w:p w:rsidR="00B81689" w:rsidRDefault="00B81689">
      <w:pPr>
        <w:jc w:val="center"/>
        <w:rPr>
          <w:b/>
        </w:rPr>
      </w:pPr>
    </w:p>
    <w:p w:rsidR="00B81689" w:rsidRDefault="00B81689">
      <w:pPr>
        <w:jc w:val="center"/>
      </w:pPr>
    </w:p>
    <w:tbl>
      <w:tblPr>
        <w:tblStyle w:val="aa"/>
        <w:tblW w:w="1246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04"/>
        <w:gridCol w:w="2495"/>
        <w:gridCol w:w="778"/>
        <w:gridCol w:w="897"/>
        <w:gridCol w:w="741"/>
        <w:gridCol w:w="1059"/>
        <w:gridCol w:w="1186"/>
        <w:gridCol w:w="1031"/>
        <w:gridCol w:w="882"/>
        <w:gridCol w:w="1094"/>
      </w:tblGrid>
      <w:tr w:rsidR="00B81689">
        <w:trPr>
          <w:trHeight w:val="300"/>
        </w:trPr>
        <w:tc>
          <w:tcPr>
            <w:tcW w:w="2302" w:type="dxa"/>
            <w:tcBorders>
              <w:top w:val="single" w:sz="6" w:space="0" w:color="8EA9DB"/>
              <w:left w:val="nil"/>
              <w:bottom w:val="single" w:sz="6" w:space="0" w:color="8EA9DB"/>
              <w:right w:val="nil"/>
            </w:tcBorders>
            <w:shd w:val="clear" w:color="auto" w:fill="4472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1689" w:rsidRDefault="00BC4F83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</w:rPr>
              <w:t>Заказчик</w:t>
            </w:r>
          </w:p>
        </w:tc>
        <w:tc>
          <w:tcPr>
            <w:tcW w:w="2493" w:type="dxa"/>
            <w:tcBorders>
              <w:top w:val="single" w:sz="6" w:space="0" w:color="8EA9DB"/>
              <w:left w:val="nil"/>
              <w:bottom w:val="single" w:sz="6" w:space="0" w:color="8EA9DB"/>
              <w:right w:val="nil"/>
            </w:tcBorders>
            <w:shd w:val="clear" w:color="auto" w:fill="4472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1689" w:rsidRDefault="00BC4F83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</w:rPr>
              <w:t>Адрес</w:t>
            </w:r>
          </w:p>
        </w:tc>
        <w:tc>
          <w:tcPr>
            <w:tcW w:w="777" w:type="dxa"/>
            <w:tcBorders>
              <w:top w:val="single" w:sz="6" w:space="0" w:color="8EA9DB"/>
              <w:left w:val="nil"/>
              <w:bottom w:val="single" w:sz="6" w:space="0" w:color="8EA9DB"/>
              <w:right w:val="nil"/>
            </w:tcBorders>
            <w:shd w:val="clear" w:color="auto" w:fill="4472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1689" w:rsidRDefault="00BC4F83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</w:rPr>
              <w:t>% выполнения</w:t>
            </w:r>
          </w:p>
        </w:tc>
        <w:tc>
          <w:tcPr>
            <w:tcW w:w="897" w:type="dxa"/>
            <w:tcBorders>
              <w:top w:val="single" w:sz="6" w:space="0" w:color="8EA9DB"/>
              <w:left w:val="nil"/>
              <w:bottom w:val="single" w:sz="6" w:space="0" w:color="8EA9DB"/>
              <w:right w:val="nil"/>
            </w:tcBorders>
            <w:shd w:val="clear" w:color="auto" w:fill="4472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1689" w:rsidRDefault="00BC4F83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</w:rPr>
              <w:t>Ответственный</w:t>
            </w:r>
          </w:p>
        </w:tc>
        <w:tc>
          <w:tcPr>
            <w:tcW w:w="741" w:type="dxa"/>
            <w:tcBorders>
              <w:top w:val="single" w:sz="6" w:space="0" w:color="8EA9DB"/>
              <w:left w:val="nil"/>
              <w:bottom w:val="single" w:sz="6" w:space="0" w:color="8EA9DB"/>
              <w:right w:val="nil"/>
            </w:tcBorders>
            <w:shd w:val="clear" w:color="auto" w:fill="4472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1689" w:rsidRDefault="00BC4F83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</w:rPr>
              <w:t>К</w:t>
            </w:r>
          </w:p>
        </w:tc>
        <w:tc>
          <w:tcPr>
            <w:tcW w:w="1059" w:type="dxa"/>
            <w:tcBorders>
              <w:top w:val="single" w:sz="6" w:space="0" w:color="8EA9DB"/>
              <w:left w:val="nil"/>
              <w:bottom w:val="single" w:sz="6" w:space="0" w:color="8EA9DB"/>
              <w:right w:val="nil"/>
            </w:tcBorders>
            <w:shd w:val="clear" w:color="auto" w:fill="4472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1689" w:rsidRDefault="00BC4F83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</w:rPr>
              <w:t>Материалы (план)</w:t>
            </w:r>
          </w:p>
        </w:tc>
        <w:tc>
          <w:tcPr>
            <w:tcW w:w="1186" w:type="dxa"/>
            <w:tcBorders>
              <w:top w:val="single" w:sz="6" w:space="0" w:color="8EA9DB"/>
              <w:left w:val="nil"/>
              <w:bottom w:val="single" w:sz="6" w:space="0" w:color="8EA9DB"/>
              <w:right w:val="nil"/>
            </w:tcBorders>
            <w:shd w:val="clear" w:color="auto" w:fill="4472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1689" w:rsidRDefault="00BC4F83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</w:rPr>
              <w:t>Материалы (факт)</w:t>
            </w:r>
          </w:p>
        </w:tc>
        <w:tc>
          <w:tcPr>
            <w:tcW w:w="1031" w:type="dxa"/>
            <w:tcBorders>
              <w:top w:val="single" w:sz="6" w:space="0" w:color="8EA9DB"/>
              <w:left w:val="nil"/>
              <w:bottom w:val="single" w:sz="6" w:space="0" w:color="8EA9DB"/>
              <w:right w:val="nil"/>
            </w:tcBorders>
            <w:shd w:val="clear" w:color="auto" w:fill="4472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1689" w:rsidRDefault="00BC4F83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</w:rPr>
              <w:t>Экономия</w:t>
            </w:r>
          </w:p>
        </w:tc>
        <w:tc>
          <w:tcPr>
            <w:tcW w:w="882" w:type="dxa"/>
            <w:tcBorders>
              <w:top w:val="single" w:sz="6" w:space="0" w:color="8EA9DB"/>
              <w:left w:val="nil"/>
              <w:bottom w:val="single" w:sz="6" w:space="0" w:color="8EA9DB"/>
              <w:right w:val="nil"/>
            </w:tcBorders>
            <w:shd w:val="clear" w:color="auto" w:fill="4472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1689" w:rsidRDefault="00BC4F83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</w:rPr>
              <w:t>% экономии</w:t>
            </w:r>
          </w:p>
        </w:tc>
        <w:tc>
          <w:tcPr>
            <w:tcW w:w="1094" w:type="dxa"/>
            <w:tcBorders>
              <w:top w:val="single" w:sz="6" w:space="0" w:color="8EA9DB"/>
              <w:left w:val="nil"/>
              <w:bottom w:val="single" w:sz="6" w:space="0" w:color="8EA9DB"/>
              <w:right w:val="single" w:sz="6" w:space="0" w:color="8EA9DB"/>
            </w:tcBorders>
            <w:shd w:val="clear" w:color="auto" w:fill="4472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1689" w:rsidRDefault="00BC4F83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</w:rPr>
              <w:t>Премия</w:t>
            </w:r>
          </w:p>
        </w:tc>
      </w:tr>
      <w:tr w:rsidR="00B81689">
        <w:trPr>
          <w:trHeight w:val="300"/>
        </w:trPr>
        <w:tc>
          <w:tcPr>
            <w:tcW w:w="2302" w:type="dxa"/>
            <w:tcBorders>
              <w:top w:val="single" w:sz="6" w:space="0" w:color="8EA9DB"/>
              <w:left w:val="nil"/>
              <w:bottom w:val="single" w:sz="6" w:space="0" w:color="8EA9DB"/>
              <w:right w:val="nil"/>
            </w:tcBorders>
            <w:shd w:val="clear" w:color="auto" w:fill="D9E1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1689" w:rsidRPr="00BC4F83" w:rsidRDefault="00BC4F83">
            <w:pPr>
              <w:jc w:val="center"/>
              <w:rPr>
                <w:lang w:val="ru-RU"/>
              </w:rPr>
            </w:pPr>
            <w:r>
              <w:rPr>
                <w:rFonts w:ascii="Calibri" w:eastAsia="Calibri" w:hAnsi="Calibri" w:cs="Calibri"/>
                <w:lang w:val="ru-RU"/>
              </w:rPr>
              <w:t>Заказчик 1</w:t>
            </w:r>
          </w:p>
        </w:tc>
        <w:tc>
          <w:tcPr>
            <w:tcW w:w="2493" w:type="dxa"/>
            <w:tcBorders>
              <w:top w:val="single" w:sz="6" w:space="0" w:color="8EA9DB"/>
              <w:left w:val="nil"/>
              <w:bottom w:val="single" w:sz="6" w:space="0" w:color="8EA9DB"/>
              <w:right w:val="nil"/>
            </w:tcBorders>
            <w:shd w:val="clear" w:color="auto" w:fill="D9E1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1689" w:rsidRPr="00BC4F83" w:rsidRDefault="00BC4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ru-RU"/>
              </w:rPr>
            </w:pPr>
            <w:r>
              <w:rPr>
                <w:rFonts w:ascii="Calibri" w:eastAsia="Calibri" w:hAnsi="Calibri" w:cs="Calibri"/>
                <w:lang w:val="ru-RU"/>
              </w:rPr>
              <w:t>Адрес 1</w:t>
            </w:r>
          </w:p>
        </w:tc>
        <w:tc>
          <w:tcPr>
            <w:tcW w:w="777" w:type="dxa"/>
            <w:tcBorders>
              <w:top w:val="single" w:sz="6" w:space="0" w:color="8EA9DB"/>
              <w:left w:val="nil"/>
              <w:bottom w:val="single" w:sz="6" w:space="0" w:color="8EA9DB"/>
              <w:right w:val="nil"/>
            </w:tcBorders>
            <w:shd w:val="clear" w:color="auto" w:fill="D9E1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1689" w:rsidRDefault="00BC4F83">
            <w:pPr>
              <w:jc w:val="center"/>
            </w:pPr>
            <w:r>
              <w:rPr>
                <w:rFonts w:ascii="Calibri" w:eastAsia="Calibri" w:hAnsi="Calibri" w:cs="Calibri"/>
              </w:rPr>
              <w:t>100%</w:t>
            </w:r>
          </w:p>
        </w:tc>
        <w:tc>
          <w:tcPr>
            <w:tcW w:w="897" w:type="dxa"/>
            <w:tcBorders>
              <w:top w:val="single" w:sz="6" w:space="0" w:color="8EA9DB"/>
              <w:left w:val="nil"/>
              <w:bottom w:val="single" w:sz="6" w:space="0" w:color="8EA9DB"/>
              <w:right w:val="nil"/>
            </w:tcBorders>
            <w:shd w:val="clear" w:color="auto" w:fill="D9E1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1689" w:rsidRPr="00BC4F83" w:rsidRDefault="00BC4F83">
            <w:pPr>
              <w:jc w:val="center"/>
              <w:rPr>
                <w:lang w:val="ru-RU"/>
              </w:rPr>
            </w:pPr>
            <w:r>
              <w:rPr>
                <w:rFonts w:ascii="Calibri" w:eastAsia="Calibri" w:hAnsi="Calibri" w:cs="Calibri"/>
                <w:lang w:val="ru-RU"/>
              </w:rPr>
              <w:t>Иванов И И</w:t>
            </w:r>
          </w:p>
        </w:tc>
        <w:tc>
          <w:tcPr>
            <w:tcW w:w="741" w:type="dxa"/>
            <w:tcBorders>
              <w:top w:val="single" w:sz="6" w:space="0" w:color="8EA9DB"/>
              <w:left w:val="nil"/>
              <w:bottom w:val="single" w:sz="6" w:space="0" w:color="8EA9DB"/>
              <w:right w:val="nil"/>
            </w:tcBorders>
            <w:shd w:val="clear" w:color="auto" w:fill="D9E1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1689" w:rsidRDefault="00BC4F83">
            <w:pPr>
              <w:jc w:val="center"/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059" w:type="dxa"/>
            <w:tcBorders>
              <w:top w:val="single" w:sz="6" w:space="0" w:color="8EA9DB"/>
              <w:left w:val="nil"/>
              <w:bottom w:val="single" w:sz="6" w:space="0" w:color="8EA9DB"/>
              <w:right w:val="nil"/>
            </w:tcBorders>
            <w:shd w:val="clear" w:color="auto" w:fill="D9E1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1689" w:rsidRDefault="00BC4F83">
            <w:pPr>
              <w:jc w:val="center"/>
            </w:pPr>
            <w:r>
              <w:rPr>
                <w:rFonts w:ascii="Calibri" w:eastAsia="Calibri" w:hAnsi="Calibri" w:cs="Calibri"/>
              </w:rPr>
              <w:t>7 082,29 ₽</w:t>
            </w:r>
          </w:p>
        </w:tc>
        <w:tc>
          <w:tcPr>
            <w:tcW w:w="1186" w:type="dxa"/>
            <w:tcBorders>
              <w:top w:val="single" w:sz="6" w:space="0" w:color="8EA9DB"/>
              <w:left w:val="nil"/>
              <w:bottom w:val="single" w:sz="6" w:space="0" w:color="8EA9DB"/>
              <w:right w:val="nil"/>
            </w:tcBorders>
            <w:shd w:val="clear" w:color="auto" w:fill="D9E1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1689" w:rsidRDefault="00BC4F83">
            <w:pPr>
              <w:jc w:val="center"/>
            </w:pPr>
            <w:r>
              <w:rPr>
                <w:rFonts w:ascii="Calibri" w:eastAsia="Calibri" w:hAnsi="Calibri" w:cs="Calibri"/>
              </w:rPr>
              <w:t>6 082,29 ₽</w:t>
            </w:r>
          </w:p>
        </w:tc>
        <w:tc>
          <w:tcPr>
            <w:tcW w:w="1031" w:type="dxa"/>
            <w:tcBorders>
              <w:top w:val="single" w:sz="6" w:space="0" w:color="8EA9DB"/>
              <w:left w:val="nil"/>
              <w:bottom w:val="single" w:sz="6" w:space="0" w:color="8EA9DB"/>
              <w:right w:val="nil"/>
            </w:tcBorders>
            <w:shd w:val="clear" w:color="auto" w:fill="D9E1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1689" w:rsidRDefault="00BC4F83">
            <w:pPr>
              <w:jc w:val="center"/>
            </w:pPr>
            <w:r>
              <w:rPr>
                <w:rFonts w:ascii="Calibri" w:eastAsia="Calibri" w:hAnsi="Calibri" w:cs="Calibri"/>
              </w:rPr>
              <w:t>1 000,00 ₽</w:t>
            </w:r>
          </w:p>
        </w:tc>
        <w:tc>
          <w:tcPr>
            <w:tcW w:w="882" w:type="dxa"/>
            <w:tcBorders>
              <w:top w:val="single" w:sz="6" w:space="0" w:color="8EA9DB"/>
              <w:left w:val="nil"/>
              <w:bottom w:val="single" w:sz="6" w:space="0" w:color="8EA9DB"/>
              <w:right w:val="nil"/>
            </w:tcBorders>
            <w:shd w:val="clear" w:color="auto" w:fill="D9E1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1689" w:rsidRDefault="00BC4F83">
            <w:pPr>
              <w:jc w:val="center"/>
            </w:pPr>
            <w:r>
              <w:rPr>
                <w:rFonts w:ascii="Calibri" w:eastAsia="Calibri" w:hAnsi="Calibri" w:cs="Calibri"/>
              </w:rPr>
              <w:t>14,12%</w:t>
            </w:r>
          </w:p>
        </w:tc>
        <w:tc>
          <w:tcPr>
            <w:tcW w:w="1094" w:type="dxa"/>
            <w:tcBorders>
              <w:top w:val="single" w:sz="6" w:space="0" w:color="8EA9DB"/>
              <w:left w:val="nil"/>
              <w:bottom w:val="single" w:sz="6" w:space="0" w:color="8EA9DB"/>
              <w:right w:val="single" w:sz="6" w:space="0" w:color="8EA9DB"/>
            </w:tcBorders>
            <w:shd w:val="clear" w:color="auto" w:fill="D9E1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1689" w:rsidRDefault="00BC4F83">
            <w:pPr>
              <w:jc w:val="center"/>
            </w:pPr>
            <w:r>
              <w:rPr>
                <w:rFonts w:ascii="Calibri" w:eastAsia="Calibri" w:hAnsi="Calibri" w:cs="Calibri"/>
              </w:rPr>
              <w:t>20,00 ₽</w:t>
            </w:r>
          </w:p>
        </w:tc>
      </w:tr>
      <w:tr w:rsidR="00B81689">
        <w:trPr>
          <w:trHeight w:val="300"/>
        </w:trPr>
        <w:tc>
          <w:tcPr>
            <w:tcW w:w="2302" w:type="dxa"/>
            <w:tcBorders>
              <w:top w:val="single" w:sz="6" w:space="0" w:color="8EA9DB"/>
              <w:left w:val="nil"/>
              <w:bottom w:val="single" w:sz="6" w:space="0" w:color="8EA9DB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1689" w:rsidRPr="00BC4F83" w:rsidRDefault="00BC4F83">
            <w:pPr>
              <w:jc w:val="center"/>
              <w:rPr>
                <w:lang w:val="ru-RU"/>
              </w:rPr>
            </w:pPr>
            <w:r>
              <w:rPr>
                <w:rFonts w:ascii="Calibri" w:eastAsia="Calibri" w:hAnsi="Calibri" w:cs="Calibri"/>
                <w:lang w:val="ru-RU"/>
              </w:rPr>
              <w:t>Заказчик 2</w:t>
            </w:r>
          </w:p>
        </w:tc>
        <w:tc>
          <w:tcPr>
            <w:tcW w:w="2493" w:type="dxa"/>
            <w:tcBorders>
              <w:top w:val="single" w:sz="6" w:space="0" w:color="8EA9DB"/>
              <w:left w:val="nil"/>
              <w:bottom w:val="single" w:sz="6" w:space="0" w:color="8EA9DB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1689" w:rsidRPr="00BC4F83" w:rsidRDefault="00BC4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ru-RU"/>
              </w:rPr>
            </w:pPr>
            <w:r>
              <w:rPr>
                <w:rFonts w:ascii="Calibri" w:eastAsia="Calibri" w:hAnsi="Calibri" w:cs="Calibri"/>
                <w:lang w:val="ru-RU"/>
              </w:rPr>
              <w:t>Адрес 2</w:t>
            </w:r>
          </w:p>
        </w:tc>
        <w:tc>
          <w:tcPr>
            <w:tcW w:w="777" w:type="dxa"/>
            <w:tcBorders>
              <w:top w:val="single" w:sz="6" w:space="0" w:color="8EA9DB"/>
              <w:left w:val="nil"/>
              <w:bottom w:val="single" w:sz="6" w:space="0" w:color="8EA9DB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1689" w:rsidRDefault="00BC4F83">
            <w:pPr>
              <w:jc w:val="center"/>
            </w:pPr>
            <w:r>
              <w:rPr>
                <w:rFonts w:ascii="Calibri" w:eastAsia="Calibri" w:hAnsi="Calibri" w:cs="Calibri"/>
              </w:rPr>
              <w:t>100%</w:t>
            </w:r>
          </w:p>
        </w:tc>
        <w:tc>
          <w:tcPr>
            <w:tcW w:w="897" w:type="dxa"/>
            <w:tcBorders>
              <w:top w:val="single" w:sz="6" w:space="0" w:color="8EA9DB"/>
              <w:left w:val="nil"/>
              <w:bottom w:val="single" w:sz="6" w:space="0" w:color="8EA9DB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1689" w:rsidRPr="00BC4F83" w:rsidRDefault="00BC4F83">
            <w:pPr>
              <w:jc w:val="center"/>
              <w:rPr>
                <w:lang w:val="ru-RU"/>
              </w:rPr>
            </w:pPr>
            <w:r>
              <w:rPr>
                <w:rFonts w:ascii="Calibri" w:eastAsia="Calibri" w:hAnsi="Calibri" w:cs="Calibri"/>
                <w:lang w:val="ru-RU"/>
              </w:rPr>
              <w:t>Петров П П</w:t>
            </w:r>
          </w:p>
        </w:tc>
        <w:tc>
          <w:tcPr>
            <w:tcW w:w="741" w:type="dxa"/>
            <w:tcBorders>
              <w:top w:val="single" w:sz="6" w:space="0" w:color="8EA9DB"/>
              <w:left w:val="nil"/>
              <w:bottom w:val="single" w:sz="6" w:space="0" w:color="8EA9DB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1689" w:rsidRDefault="00BC4F83">
            <w:pPr>
              <w:jc w:val="center"/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059" w:type="dxa"/>
            <w:tcBorders>
              <w:top w:val="single" w:sz="6" w:space="0" w:color="8EA9DB"/>
              <w:left w:val="nil"/>
              <w:bottom w:val="single" w:sz="6" w:space="0" w:color="8EA9DB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1689" w:rsidRDefault="00BC4F83">
            <w:pPr>
              <w:jc w:val="center"/>
            </w:pPr>
            <w:r>
              <w:rPr>
                <w:rFonts w:ascii="Calibri" w:eastAsia="Calibri" w:hAnsi="Calibri" w:cs="Calibri"/>
              </w:rPr>
              <w:t>232 671,57 ₽</w:t>
            </w:r>
          </w:p>
        </w:tc>
        <w:tc>
          <w:tcPr>
            <w:tcW w:w="1186" w:type="dxa"/>
            <w:tcBorders>
              <w:top w:val="single" w:sz="6" w:space="0" w:color="8EA9DB"/>
              <w:left w:val="nil"/>
              <w:bottom w:val="single" w:sz="6" w:space="0" w:color="8EA9DB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1689" w:rsidRDefault="00BC4F83">
            <w:pPr>
              <w:jc w:val="center"/>
            </w:pPr>
            <w:r>
              <w:rPr>
                <w:rFonts w:ascii="Calibri" w:eastAsia="Calibri" w:hAnsi="Calibri" w:cs="Calibri"/>
              </w:rPr>
              <w:t>186 137,26 ₽</w:t>
            </w:r>
          </w:p>
        </w:tc>
        <w:tc>
          <w:tcPr>
            <w:tcW w:w="1031" w:type="dxa"/>
            <w:tcBorders>
              <w:top w:val="single" w:sz="6" w:space="0" w:color="8EA9DB"/>
              <w:left w:val="nil"/>
              <w:bottom w:val="single" w:sz="6" w:space="0" w:color="8EA9DB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1689" w:rsidRDefault="00BC4F83">
            <w:pPr>
              <w:jc w:val="center"/>
            </w:pPr>
            <w:r>
              <w:rPr>
                <w:rFonts w:ascii="Calibri" w:eastAsia="Calibri" w:hAnsi="Calibri" w:cs="Calibri"/>
              </w:rPr>
              <w:t>46 534,31 ₽</w:t>
            </w:r>
          </w:p>
        </w:tc>
        <w:tc>
          <w:tcPr>
            <w:tcW w:w="882" w:type="dxa"/>
            <w:tcBorders>
              <w:top w:val="single" w:sz="6" w:space="0" w:color="8EA9DB"/>
              <w:left w:val="nil"/>
              <w:bottom w:val="single" w:sz="6" w:space="0" w:color="8EA9DB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1689" w:rsidRDefault="00BC4F83">
            <w:pPr>
              <w:jc w:val="center"/>
            </w:pPr>
            <w:r>
              <w:rPr>
                <w:rFonts w:ascii="Calibri" w:eastAsia="Calibri" w:hAnsi="Calibri" w:cs="Calibri"/>
              </w:rPr>
              <w:t>20,00%</w:t>
            </w:r>
          </w:p>
        </w:tc>
        <w:tc>
          <w:tcPr>
            <w:tcW w:w="1094" w:type="dxa"/>
            <w:tcBorders>
              <w:top w:val="single" w:sz="6" w:space="0" w:color="8EA9DB"/>
              <w:left w:val="nil"/>
              <w:bottom w:val="single" w:sz="6" w:space="0" w:color="8EA9DB"/>
              <w:right w:val="single" w:sz="6" w:space="0" w:color="8EA9D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1689" w:rsidRDefault="00BC4F83">
            <w:pPr>
              <w:jc w:val="center"/>
            </w:pPr>
            <w:r>
              <w:rPr>
                <w:rFonts w:ascii="Calibri" w:eastAsia="Calibri" w:hAnsi="Calibri" w:cs="Calibri"/>
              </w:rPr>
              <w:t>1 160,00 ₽</w:t>
            </w:r>
          </w:p>
        </w:tc>
      </w:tr>
    </w:tbl>
    <w:p w:rsidR="00B81689" w:rsidRDefault="00B81689">
      <w:pPr>
        <w:jc w:val="center"/>
      </w:pPr>
    </w:p>
    <w:p w:rsidR="00B81689" w:rsidRDefault="00B81689">
      <w:pPr>
        <w:jc w:val="center"/>
      </w:pPr>
    </w:p>
    <w:p w:rsidR="00B81689" w:rsidRDefault="00BC4F83">
      <w:r>
        <w:t>Правила формирования значений:</w:t>
      </w:r>
    </w:p>
    <w:p w:rsidR="00B81689" w:rsidRDefault="00B81689"/>
    <w:p w:rsidR="00B81689" w:rsidRDefault="00BC4F83">
      <w:r>
        <w:t>В отчет попадают объекты, которые были завершены на 100 % в течение периода</w:t>
      </w:r>
      <w:r w:rsidR="00820528">
        <w:rPr>
          <w:lang w:val="ru-RU"/>
        </w:rPr>
        <w:t xml:space="preserve"> (указывается в ТЧ в объекте строительства)</w:t>
      </w:r>
      <w:r>
        <w:t>, по которому формируется данный отчет, а также объекты, которые были завершены на 100% в предыдущих периодах, но по ним отражаются расходы в текущем периоде</w:t>
      </w:r>
    </w:p>
    <w:p w:rsidR="00B81689" w:rsidRDefault="00B81689"/>
    <w:p w:rsidR="00B81689" w:rsidRDefault="00BC4F83">
      <w:r>
        <w:t>Каждая строка - отдельный объект строительства. Объект строительства связан с заказом покупателя 1:1.</w:t>
      </w:r>
    </w:p>
    <w:p w:rsidR="00B81689" w:rsidRDefault="00B81689"/>
    <w:tbl>
      <w:tblPr>
        <w:tblStyle w:val="ab"/>
        <w:tblW w:w="139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80"/>
        <w:gridCol w:w="11040"/>
      </w:tblGrid>
      <w:tr w:rsidR="00B81689">
        <w:tc>
          <w:tcPr>
            <w:tcW w:w="288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689" w:rsidRDefault="00BC4F83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Значение</w:t>
            </w:r>
          </w:p>
        </w:tc>
        <w:tc>
          <w:tcPr>
            <w:tcW w:w="1104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689" w:rsidRDefault="00BC4F83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Порядок расчета</w:t>
            </w:r>
          </w:p>
        </w:tc>
      </w:tr>
      <w:tr w:rsidR="00B81689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689" w:rsidRDefault="00BC4F83">
            <w:pPr>
              <w:widowControl w:val="0"/>
              <w:spacing w:line="240" w:lineRule="auto"/>
            </w:pPr>
            <w:r>
              <w:t>Заказчик</w:t>
            </w:r>
          </w:p>
        </w:tc>
        <w:tc>
          <w:tcPr>
            <w:tcW w:w="1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689" w:rsidRDefault="00BC4F83">
            <w:pPr>
              <w:widowControl w:val="0"/>
              <w:spacing w:line="240" w:lineRule="auto"/>
            </w:pPr>
            <w:r>
              <w:t xml:space="preserve">Контрагент, указанный в заказе клиента, в котором указан объект строительства. </w:t>
            </w:r>
          </w:p>
        </w:tc>
      </w:tr>
      <w:tr w:rsidR="00B81689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689" w:rsidRDefault="00BC4F83">
            <w:pPr>
              <w:widowControl w:val="0"/>
              <w:spacing w:line="240" w:lineRule="auto"/>
            </w:pPr>
            <w:r>
              <w:t>Адрес</w:t>
            </w:r>
          </w:p>
        </w:tc>
        <w:tc>
          <w:tcPr>
            <w:tcW w:w="1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689" w:rsidRDefault="00BC4F83">
            <w:pPr>
              <w:widowControl w:val="0"/>
              <w:spacing w:line="240" w:lineRule="auto"/>
            </w:pPr>
            <w:r>
              <w:t>Адрес объекта строительства.</w:t>
            </w:r>
          </w:p>
        </w:tc>
      </w:tr>
      <w:tr w:rsidR="00B81689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689" w:rsidRDefault="00BC4F83">
            <w:pPr>
              <w:widowControl w:val="0"/>
              <w:spacing w:line="240" w:lineRule="auto"/>
            </w:pPr>
            <w:r>
              <w:t>% выполнения</w:t>
            </w:r>
          </w:p>
        </w:tc>
        <w:tc>
          <w:tcPr>
            <w:tcW w:w="1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689" w:rsidRDefault="00BC4F83">
            <w:pPr>
              <w:widowControl w:val="0"/>
              <w:spacing w:line="240" w:lineRule="auto"/>
            </w:pPr>
            <w:r>
              <w:t>Можно не выводить, т. к. отображаем только объекты, полностью выполненные.</w:t>
            </w:r>
          </w:p>
        </w:tc>
      </w:tr>
      <w:tr w:rsidR="00B81689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689" w:rsidRDefault="00BC4F83">
            <w:pPr>
              <w:widowControl w:val="0"/>
              <w:spacing w:line="240" w:lineRule="auto"/>
            </w:pPr>
            <w:r>
              <w:lastRenderedPageBreak/>
              <w:t>Ответственный</w:t>
            </w:r>
          </w:p>
        </w:tc>
        <w:tc>
          <w:tcPr>
            <w:tcW w:w="1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689" w:rsidRDefault="00BC4F83">
            <w:pPr>
              <w:widowControl w:val="0"/>
              <w:spacing w:line="240" w:lineRule="auto"/>
            </w:pPr>
            <w:r>
              <w:t>Сотрудник отдела снабжения данного объекта.</w:t>
            </w:r>
          </w:p>
        </w:tc>
      </w:tr>
      <w:tr w:rsidR="00B81689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689" w:rsidRDefault="00BC4F83">
            <w:pPr>
              <w:widowControl w:val="0"/>
              <w:spacing w:line="240" w:lineRule="auto"/>
            </w:pPr>
            <w:r>
              <w:t>К</w:t>
            </w:r>
          </w:p>
        </w:tc>
        <w:tc>
          <w:tcPr>
            <w:tcW w:w="1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689" w:rsidRDefault="00BC4F83">
            <w:pPr>
              <w:widowControl w:val="0"/>
              <w:spacing w:line="240" w:lineRule="auto"/>
            </w:pPr>
            <w:r>
              <w:t>1-Коэф. корректировки, где Коэф. корректировки = ФОТ2/Сумма договора. Все значения округляются до 2-х знаков после запятой.</w:t>
            </w:r>
          </w:p>
          <w:p w:rsidR="00B81689" w:rsidRDefault="00B81689">
            <w:pPr>
              <w:widowControl w:val="0"/>
              <w:spacing w:line="240" w:lineRule="auto"/>
            </w:pPr>
          </w:p>
          <w:p w:rsidR="00B81689" w:rsidRPr="00820528" w:rsidRDefault="00BC4F83">
            <w:pPr>
              <w:widowControl w:val="0"/>
              <w:spacing w:line="240" w:lineRule="auto"/>
              <w:rPr>
                <w:lang w:val="ru-RU"/>
              </w:rPr>
            </w:pPr>
            <w:r>
              <w:t>ФОТ2 - это сумма планируемых расходов по данному объекту по статье “ФОТ2”.</w:t>
            </w:r>
            <w:r w:rsidR="00820528">
              <w:rPr>
                <w:lang w:val="ru-RU"/>
              </w:rPr>
              <w:t xml:space="preserve"> Берется из ТЧ в объекте строительства.</w:t>
            </w:r>
            <w:bookmarkStart w:id="1" w:name="_GoBack"/>
            <w:bookmarkEnd w:id="1"/>
          </w:p>
        </w:tc>
      </w:tr>
      <w:tr w:rsidR="00B81689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689" w:rsidRDefault="00BC4F83">
            <w:pPr>
              <w:widowControl w:val="0"/>
              <w:spacing w:line="240" w:lineRule="auto"/>
            </w:pPr>
            <w:r>
              <w:t>Материалы (план)</w:t>
            </w:r>
          </w:p>
        </w:tc>
        <w:tc>
          <w:tcPr>
            <w:tcW w:w="1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4F83" w:rsidRDefault="00BC4F83">
            <w:pPr>
              <w:widowControl w:val="0"/>
              <w:spacing w:line="240" w:lineRule="auto"/>
            </w:pPr>
            <w:r>
              <w:t xml:space="preserve">План затрат из объекта строительства по всем статьям кроме “ФОТ”, “ФОТ2” и “Прочее”. Суммы проставляются исходя из следующих правил: </w:t>
            </w:r>
          </w:p>
          <w:p w:rsidR="00BC4F83" w:rsidRDefault="00BC4F83">
            <w:pPr>
              <w:widowControl w:val="0"/>
              <w:spacing w:line="240" w:lineRule="auto"/>
            </w:pPr>
            <w:r>
              <w:t xml:space="preserve">1. Расход по кассе - Сумма/(1-К), где К - повышающий коэффициент. </w:t>
            </w:r>
          </w:p>
          <w:p w:rsidR="00BC4F83" w:rsidRDefault="00BC4F83">
            <w:pPr>
              <w:widowControl w:val="0"/>
              <w:spacing w:line="240" w:lineRule="auto"/>
            </w:pPr>
            <w:r>
              <w:t xml:space="preserve">2. Расход по расчетному счету </w:t>
            </w:r>
            <w:r>
              <w:rPr>
                <w:lang w:val="ru-RU"/>
              </w:rPr>
              <w:t>организации, работающей без НДС</w:t>
            </w:r>
            <w:r>
              <w:t xml:space="preserve"> - Сумма. </w:t>
            </w:r>
          </w:p>
          <w:p w:rsidR="00BC4F83" w:rsidRDefault="00BC4F83" w:rsidP="00BC4F83">
            <w:pPr>
              <w:widowControl w:val="0"/>
              <w:spacing w:line="240" w:lineRule="auto"/>
            </w:pPr>
            <w:r>
              <w:t xml:space="preserve">3. Расход по расчетному счету </w:t>
            </w:r>
            <w:r>
              <w:rPr>
                <w:lang w:val="ru-RU"/>
              </w:rPr>
              <w:t>организации, работающей с НДС</w:t>
            </w:r>
            <w:r>
              <w:t xml:space="preserve"> - Сумма без учета НДС. </w:t>
            </w:r>
          </w:p>
          <w:p w:rsidR="00B81689" w:rsidRDefault="00BC4F83" w:rsidP="00BC4F83">
            <w:pPr>
              <w:widowControl w:val="0"/>
              <w:spacing w:line="240" w:lineRule="auto"/>
            </w:pPr>
            <w:r>
              <w:t>Все значения округляются до 2-х знаков после запятой.</w:t>
            </w:r>
          </w:p>
        </w:tc>
      </w:tr>
      <w:tr w:rsidR="00B81689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689" w:rsidRDefault="00BC4F83">
            <w:pPr>
              <w:widowControl w:val="0"/>
              <w:spacing w:line="240" w:lineRule="auto"/>
            </w:pPr>
            <w:r>
              <w:t>Материалы (факт)</w:t>
            </w:r>
          </w:p>
        </w:tc>
        <w:tc>
          <w:tcPr>
            <w:tcW w:w="1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4F83" w:rsidRDefault="00BC4F83">
            <w:pPr>
              <w:widowControl w:val="0"/>
              <w:spacing w:line="240" w:lineRule="auto"/>
            </w:pPr>
            <w:r>
              <w:t xml:space="preserve">Фактические затраты по данному объекту строительства, кроме “ФОТ”, “ФОТ2” и “Прочее”. Суммы проставляются исходя из следующих правил: </w:t>
            </w:r>
          </w:p>
          <w:p w:rsidR="00BC4F83" w:rsidRDefault="00BC4F83">
            <w:pPr>
              <w:widowControl w:val="0"/>
              <w:spacing w:line="240" w:lineRule="auto"/>
            </w:pPr>
            <w:r>
              <w:t xml:space="preserve">1. Расход по кассе - Сумма/(1-К), где К - повышающий коэффициент. </w:t>
            </w:r>
          </w:p>
          <w:p w:rsidR="00BC4F83" w:rsidRDefault="00BC4F83">
            <w:pPr>
              <w:widowControl w:val="0"/>
              <w:spacing w:line="240" w:lineRule="auto"/>
            </w:pPr>
            <w:r>
              <w:t xml:space="preserve">2. Расход по расчетному счету </w:t>
            </w:r>
            <w:r>
              <w:rPr>
                <w:lang w:val="ru-RU"/>
              </w:rPr>
              <w:t xml:space="preserve">организации, работающей без НДС </w:t>
            </w:r>
            <w:r>
              <w:t xml:space="preserve"> - Сумма. </w:t>
            </w:r>
          </w:p>
          <w:p w:rsidR="00BC4F83" w:rsidRDefault="00BC4F83">
            <w:pPr>
              <w:widowControl w:val="0"/>
              <w:spacing w:line="240" w:lineRule="auto"/>
            </w:pPr>
            <w:r>
              <w:t xml:space="preserve">3. Расход по расчетному счету </w:t>
            </w:r>
            <w:r>
              <w:rPr>
                <w:lang w:val="ru-RU"/>
              </w:rPr>
              <w:t>организации, работающей с НДС</w:t>
            </w:r>
            <w:r>
              <w:t xml:space="preserve"> - Сумма без учета НДС.  </w:t>
            </w:r>
          </w:p>
          <w:p w:rsidR="00B81689" w:rsidRDefault="00BC4F83">
            <w:pPr>
              <w:widowControl w:val="0"/>
              <w:spacing w:line="240" w:lineRule="auto"/>
            </w:pPr>
            <w:r>
              <w:t>Все значения округляются до 2-х знаков после запятой.</w:t>
            </w:r>
          </w:p>
        </w:tc>
      </w:tr>
      <w:tr w:rsidR="00B81689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689" w:rsidRDefault="00BC4F83">
            <w:pPr>
              <w:widowControl w:val="0"/>
              <w:spacing w:line="240" w:lineRule="auto"/>
            </w:pPr>
            <w:r>
              <w:t>Экономия</w:t>
            </w:r>
          </w:p>
        </w:tc>
        <w:tc>
          <w:tcPr>
            <w:tcW w:w="1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689" w:rsidRDefault="00BC4F83">
            <w:pPr>
              <w:widowControl w:val="0"/>
              <w:spacing w:line="240" w:lineRule="auto"/>
            </w:pPr>
            <w:r>
              <w:t>Материалы (план) * K - Материалы (факт) Все значения округляются до 2-х знаков после запятой.</w:t>
            </w:r>
          </w:p>
        </w:tc>
      </w:tr>
      <w:tr w:rsidR="00B81689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689" w:rsidRDefault="00BC4F83">
            <w:pPr>
              <w:widowControl w:val="0"/>
              <w:spacing w:line="240" w:lineRule="auto"/>
            </w:pPr>
            <w:r>
              <w:t>% экономии</w:t>
            </w:r>
          </w:p>
        </w:tc>
        <w:tc>
          <w:tcPr>
            <w:tcW w:w="1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689" w:rsidRDefault="00BC4F83">
            <w:pPr>
              <w:widowControl w:val="0"/>
              <w:spacing w:line="240" w:lineRule="auto"/>
            </w:pPr>
            <w:r>
              <w:t>1 - Материалы (факт) / (Материалы(план) * К) Все значения округляются до 2-х знаков после запятой.</w:t>
            </w:r>
          </w:p>
        </w:tc>
      </w:tr>
      <w:tr w:rsidR="00B81689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689" w:rsidRDefault="00BC4F83">
            <w:pPr>
              <w:widowControl w:val="0"/>
              <w:spacing w:line="240" w:lineRule="auto"/>
            </w:pPr>
            <w:r>
              <w:t>Премия</w:t>
            </w:r>
          </w:p>
        </w:tc>
        <w:tc>
          <w:tcPr>
            <w:tcW w:w="1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689" w:rsidRDefault="00BC4F83">
            <w:pPr>
              <w:widowControl w:val="0"/>
              <w:spacing w:line="240" w:lineRule="auto"/>
            </w:pPr>
            <w:r>
              <w:t>Если % экономии &lt;= 20, тогда Экономия * 0,025, иначе Материалы (план)*0,2*0,025+Материалы (план)*(% экономии-0,2)*0,15. Округление до десятков в меньшую сторону.</w:t>
            </w:r>
          </w:p>
        </w:tc>
      </w:tr>
    </w:tbl>
    <w:p w:rsidR="00B81689" w:rsidRDefault="00B81689">
      <w:pPr>
        <w:jc w:val="both"/>
      </w:pPr>
    </w:p>
    <w:p w:rsidR="00B81689" w:rsidRDefault="00B81689">
      <w:pPr>
        <w:jc w:val="center"/>
        <w:rPr>
          <w:b/>
        </w:rPr>
      </w:pPr>
    </w:p>
    <w:p w:rsidR="00B81689" w:rsidRDefault="00B81689">
      <w:pPr>
        <w:jc w:val="center"/>
        <w:rPr>
          <w:b/>
        </w:rPr>
      </w:pPr>
    </w:p>
    <w:p w:rsidR="00B81689" w:rsidRDefault="00B81689">
      <w:pPr>
        <w:rPr>
          <w:b/>
        </w:rPr>
      </w:pPr>
    </w:p>
    <w:sectPr w:rsidR="00B81689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61C33"/>
    <w:multiLevelType w:val="multilevel"/>
    <w:tmpl w:val="FF3C5E0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B40729"/>
    <w:multiLevelType w:val="multilevel"/>
    <w:tmpl w:val="E276556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9F139B6"/>
    <w:multiLevelType w:val="multilevel"/>
    <w:tmpl w:val="54E09D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689"/>
    <w:rsid w:val="00820528"/>
    <w:rsid w:val="00B81689"/>
    <w:rsid w:val="00BC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8BF8F"/>
  <w15:docId w15:val="{F00F5FEB-A42F-438C-B14B-14E0851A5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378</Words>
  <Characters>2156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</cp:lastModifiedBy>
  <cp:revision>5</cp:revision>
  <dcterms:created xsi:type="dcterms:W3CDTF">2021-03-04T21:44:00Z</dcterms:created>
  <dcterms:modified xsi:type="dcterms:W3CDTF">2021-03-04T22:31:00Z</dcterms:modified>
</cp:coreProperties>
</file>