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88" w:rsidRDefault="00544688">
      <w:r>
        <w:t xml:space="preserve">Данная </w:t>
      </w:r>
      <w:r w:rsidR="00D674A3">
        <w:t>разработка</w:t>
      </w:r>
      <w:r>
        <w:t xml:space="preserve"> позволяет перенести документы из конфигурации Управление торговлей 10.3 в конфигурацию Управление торговлей 11.5. Справочники вместе с  документами не переносятся, предполагается, что они уже есть в УТ 11.5.</w:t>
      </w:r>
    </w:p>
    <w:p w:rsidR="00544688" w:rsidRDefault="00DE0B90">
      <w:r>
        <w:t xml:space="preserve">Для переноса справочников, остатков и настроек </w:t>
      </w:r>
      <w:r w:rsidR="00626B83">
        <w:t xml:space="preserve">программы </w:t>
      </w:r>
      <w:r>
        <w:t>можно воспользоваться типовой обработкой от 1С, которая идет в составе конфигурации Управление торговлей 11.5.</w:t>
      </w:r>
    </w:p>
    <w:p w:rsidR="00544688" w:rsidRDefault="00626B83">
      <w:r>
        <w:t>Данная р</w:t>
      </w:r>
      <w:r w:rsidR="00DE0B90">
        <w:t>азработка состоит из двух обработок:</w:t>
      </w:r>
    </w:p>
    <w:p w:rsidR="00DE0B90" w:rsidRDefault="00DE0B90" w:rsidP="00DE0B90">
      <w:pPr>
        <w:pStyle w:val="a4"/>
        <w:numPr>
          <w:ilvl w:val="0"/>
          <w:numId w:val="9"/>
        </w:numPr>
      </w:pPr>
      <w:r w:rsidRPr="00DE0B90">
        <w:t>ВыгрузкаДокументовУТ103УТ115</w:t>
      </w:r>
      <w:r>
        <w:t xml:space="preserve"> – для выгрузки документов из УТ 10.3 в файл.</w:t>
      </w:r>
    </w:p>
    <w:p w:rsidR="00DE0B90" w:rsidRDefault="00DE0B90" w:rsidP="00DE0B90">
      <w:pPr>
        <w:pStyle w:val="a4"/>
        <w:numPr>
          <w:ilvl w:val="0"/>
          <w:numId w:val="9"/>
        </w:numPr>
      </w:pPr>
      <w:r w:rsidRPr="00DE0B90">
        <w:t>ЗагрузкаДокументовУТ103УТ115</w:t>
      </w:r>
      <w:r>
        <w:t xml:space="preserve"> – для загрузки документов из файла в УТ 11.5</w:t>
      </w:r>
    </w:p>
    <w:p w:rsidR="00544688" w:rsidRDefault="00DE0B90">
      <w:r>
        <w:t>При выгрузке можно установить отбор по организации, по периоду, а также указать какие виды документов нужно выгружать.</w:t>
      </w:r>
    </w:p>
    <w:p w:rsidR="00AB2FD0" w:rsidRDefault="00AB2FD0">
      <w:r>
        <w:t>Обработка не содержит в себе никаких правил обмена, только обычный код на встроенном языке 1С. Разберется даже начинающий разработчик.</w:t>
      </w:r>
    </w:p>
    <w:p w:rsidR="009A745D" w:rsidRDefault="009A745D" w:rsidP="009A745D">
      <w:r>
        <w:t>Перенос выполняется вами самостоятельно.</w:t>
      </w:r>
    </w:p>
    <w:p w:rsidR="009A745D" w:rsidRDefault="009A745D">
      <w:r>
        <w:t>Обработки разрабатывались и тестировались на последних релизах УТ 10.3 и УТ 11.5. Если у вас более старый релиз УТ 10.3, то я адаптирую обработку выгрузки под ваш релиз. От вас потребуется файл конфигурации. Примерное время на адаптацию 3 – 7 дней.</w:t>
      </w:r>
    </w:p>
    <w:p w:rsidR="00A04572" w:rsidRPr="000020AF" w:rsidRDefault="000020AF">
      <w:pPr>
        <w:rPr>
          <w:b/>
          <w:sz w:val="28"/>
          <w:szCs w:val="28"/>
        </w:rPr>
      </w:pPr>
      <w:r w:rsidRPr="000020AF">
        <w:rPr>
          <w:b/>
          <w:sz w:val="28"/>
          <w:szCs w:val="28"/>
        </w:rPr>
        <w:t>Состав переносимых документов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4572" w:rsidTr="00A04572">
        <w:tc>
          <w:tcPr>
            <w:tcW w:w="4785" w:type="dxa"/>
          </w:tcPr>
          <w:p w:rsidR="00A04572" w:rsidRPr="00367D7C" w:rsidRDefault="00A04572" w:rsidP="00367D7C">
            <w:pPr>
              <w:jc w:val="center"/>
              <w:rPr>
                <w:b/>
              </w:rPr>
            </w:pPr>
            <w:r w:rsidRPr="00367D7C">
              <w:rPr>
                <w:b/>
              </w:rPr>
              <w:t>Управление торговлей 1</w:t>
            </w:r>
            <w:r w:rsidR="00083060">
              <w:rPr>
                <w:b/>
              </w:rPr>
              <w:t>0.3</w:t>
            </w:r>
          </w:p>
        </w:tc>
        <w:tc>
          <w:tcPr>
            <w:tcW w:w="4786" w:type="dxa"/>
          </w:tcPr>
          <w:p w:rsidR="00A04572" w:rsidRPr="00367D7C" w:rsidRDefault="00083060" w:rsidP="00367D7C">
            <w:pPr>
              <w:jc w:val="center"/>
              <w:rPr>
                <w:b/>
              </w:rPr>
            </w:pPr>
            <w:r w:rsidRPr="00367D7C">
              <w:rPr>
                <w:b/>
              </w:rPr>
              <w:t>Управление торговлей 1</w:t>
            </w:r>
            <w:r>
              <w:rPr>
                <w:b/>
              </w:rPr>
              <w:t>1.5</w:t>
            </w:r>
          </w:p>
        </w:tc>
      </w:tr>
      <w:tr w:rsidR="00A04572" w:rsidTr="00A04572">
        <w:tc>
          <w:tcPr>
            <w:tcW w:w="4785" w:type="dxa"/>
          </w:tcPr>
          <w:p w:rsidR="00A04572" w:rsidRDefault="00083060">
            <w:r>
              <w:t>Заказ поставщику</w:t>
            </w:r>
          </w:p>
        </w:tc>
        <w:tc>
          <w:tcPr>
            <w:tcW w:w="4786" w:type="dxa"/>
          </w:tcPr>
          <w:p w:rsidR="00A04572" w:rsidRDefault="00083060">
            <w:r>
              <w:t>Заказ поставщику</w:t>
            </w:r>
          </w:p>
        </w:tc>
      </w:tr>
      <w:tr w:rsidR="00A04572" w:rsidTr="00A04572">
        <w:tc>
          <w:tcPr>
            <w:tcW w:w="4785" w:type="dxa"/>
          </w:tcPr>
          <w:p w:rsidR="00A04572" w:rsidRDefault="00083060">
            <w:r>
              <w:t>Поступление товаров и услуг</w:t>
            </w:r>
          </w:p>
        </w:tc>
        <w:tc>
          <w:tcPr>
            <w:tcW w:w="4786" w:type="dxa"/>
          </w:tcPr>
          <w:p w:rsidR="00A04572" w:rsidRDefault="00083060" w:rsidP="00083060">
            <w:r>
              <w:t>Приобретение</w:t>
            </w:r>
            <w:r w:rsidRPr="00083060">
              <w:t xml:space="preserve"> товаров и услуг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Счет-фактура полученный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Счет-фактура полученный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Возврат товаров поставщику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Возврат товаров поставщику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Заказ покупателя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Заказ клиента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Реализация товаров и услуг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Реализация товаров и услуг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Счет-фактура выданный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Счет-фактура выданный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Возврат товаров от покупателя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Возврат товаров от клиента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Отчет о розничных продажах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Отчет о розничных продажах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Платежное поручение входящее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Поступление безналичных денежных средств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Платежное поручение исходящее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Списание безналичных денежных средств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Приходный кассовый ордер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Приходный кассовый ордер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Расходный кассовый ордер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Расходный кассовый ордер</w:t>
            </w:r>
          </w:p>
        </w:tc>
      </w:tr>
      <w:tr w:rsidR="00A04572" w:rsidTr="00A04572">
        <w:tc>
          <w:tcPr>
            <w:tcW w:w="4785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Перемещение товаров</w:t>
            </w:r>
          </w:p>
        </w:tc>
        <w:tc>
          <w:tcPr>
            <w:tcW w:w="4786" w:type="dxa"/>
          </w:tcPr>
          <w:p w:rsidR="00A04572" w:rsidRPr="00083060" w:rsidRDefault="00083060">
            <w:pPr>
              <w:rPr>
                <w:rFonts w:cstheme="minorHAnsi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Перемещение товаров</w:t>
            </w:r>
          </w:p>
        </w:tc>
      </w:tr>
      <w:tr w:rsidR="00083060" w:rsidTr="00A04572">
        <w:tc>
          <w:tcPr>
            <w:tcW w:w="4785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Требование-накладная</w:t>
            </w:r>
          </w:p>
        </w:tc>
        <w:tc>
          <w:tcPr>
            <w:tcW w:w="4786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Внутреннее потребление товаров</w:t>
            </w:r>
          </w:p>
        </w:tc>
      </w:tr>
      <w:tr w:rsidR="00083060" w:rsidTr="00A04572">
        <w:tc>
          <w:tcPr>
            <w:tcW w:w="4785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083060">
              <w:rPr>
                <w:rFonts w:cstheme="minorHAnsi"/>
                <w:color w:val="000000"/>
                <w:shd w:val="clear" w:color="auto" w:fill="FFFFFF"/>
              </w:rPr>
              <w:t>Оприходование</w:t>
            </w:r>
            <w:proofErr w:type="spellEnd"/>
            <w:r w:rsidRPr="00083060">
              <w:rPr>
                <w:rFonts w:cstheme="minorHAnsi"/>
                <w:color w:val="000000"/>
                <w:shd w:val="clear" w:color="auto" w:fill="FFFFFF"/>
              </w:rPr>
              <w:t> товаров</w:t>
            </w:r>
          </w:p>
        </w:tc>
        <w:tc>
          <w:tcPr>
            <w:tcW w:w="4786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083060">
              <w:rPr>
                <w:rFonts w:cstheme="minorHAnsi"/>
                <w:color w:val="000000"/>
                <w:shd w:val="clear" w:color="auto" w:fill="FFFFFF"/>
              </w:rPr>
              <w:t>Оприходование</w:t>
            </w:r>
            <w:proofErr w:type="spellEnd"/>
            <w:r w:rsidRPr="00083060">
              <w:rPr>
                <w:rFonts w:cstheme="minorHAnsi"/>
                <w:color w:val="000000"/>
                <w:shd w:val="clear" w:color="auto" w:fill="FFFFFF"/>
              </w:rPr>
              <w:t> излишков товаров</w:t>
            </w:r>
          </w:p>
        </w:tc>
      </w:tr>
      <w:tr w:rsidR="00083060" w:rsidTr="00A04572">
        <w:tc>
          <w:tcPr>
            <w:tcW w:w="4785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Списание товаров</w:t>
            </w:r>
          </w:p>
        </w:tc>
        <w:tc>
          <w:tcPr>
            <w:tcW w:w="4786" w:type="dxa"/>
          </w:tcPr>
          <w:p w:rsidR="00083060" w:rsidRPr="00083060" w:rsidRDefault="0008306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83060">
              <w:rPr>
                <w:rFonts w:cstheme="minorHAnsi"/>
                <w:color w:val="000000"/>
                <w:shd w:val="clear" w:color="auto" w:fill="FFFFFF"/>
              </w:rPr>
              <w:t>Списание недостач товаров</w:t>
            </w:r>
          </w:p>
        </w:tc>
      </w:tr>
    </w:tbl>
    <w:p w:rsidR="00A04572" w:rsidRDefault="00A04572"/>
    <w:p w:rsidR="00626B83" w:rsidRDefault="00626B83">
      <w:r>
        <w:t>Состав документов постоянно расширяется.</w:t>
      </w:r>
    </w:p>
    <w:p w:rsidR="00A04572" w:rsidRDefault="00A56097">
      <w:r>
        <w:t>Все документы сопоставляются сначала по внутреннему идентификатору, потом по номеру и дате документа.</w:t>
      </w:r>
      <w:r w:rsidR="00F07067">
        <w:t xml:space="preserve"> Если документ уже найден в </w:t>
      </w:r>
      <w:r w:rsidR="009D1741">
        <w:t>УТ 11.5</w:t>
      </w:r>
      <w:r w:rsidR="00F07067">
        <w:t>, то он будет перезаписан. Иначе будет создан новый документ.</w:t>
      </w:r>
    </w:p>
    <w:p w:rsidR="009D1741" w:rsidRPr="004F2857" w:rsidRDefault="009D1741">
      <w:pPr>
        <w:rPr>
          <w:b/>
          <w:sz w:val="28"/>
          <w:szCs w:val="28"/>
        </w:rPr>
      </w:pPr>
      <w:r w:rsidRPr="004F2857">
        <w:rPr>
          <w:b/>
          <w:sz w:val="28"/>
          <w:szCs w:val="28"/>
        </w:rPr>
        <w:lastRenderedPageBreak/>
        <w:t>Ограничения:</w:t>
      </w:r>
    </w:p>
    <w:p w:rsidR="009D1741" w:rsidRDefault="009D1741" w:rsidP="00492551">
      <w:pPr>
        <w:pStyle w:val="a4"/>
        <w:numPr>
          <w:ilvl w:val="0"/>
          <w:numId w:val="10"/>
        </w:numPr>
      </w:pPr>
      <w:r>
        <w:t>При переносе поступлений товаров связь строк со строками заказа поставщику выполняется по простому алгоритму, поэтому есть вероятность, что часть строк не привяжутся к заказу</w:t>
      </w:r>
      <w:r w:rsidR="00C20A4E">
        <w:t xml:space="preserve"> (алгоритм </w:t>
      </w:r>
      <w:proofErr w:type="gramStart"/>
      <w:r w:rsidR="00C20A4E">
        <w:t>см</w:t>
      </w:r>
      <w:proofErr w:type="gramEnd"/>
      <w:r w:rsidR="00C20A4E">
        <w:t>. ниже)</w:t>
      </w:r>
      <w:r>
        <w:t>. Поступления товаров нужно переносить или одновременно с заказами поставщикам или после переноса заказов. Иначе строки поступления вообще не будут связаны с заказом.</w:t>
      </w:r>
    </w:p>
    <w:p w:rsidR="009D1741" w:rsidRDefault="009D1741" w:rsidP="00492551">
      <w:pPr>
        <w:pStyle w:val="a4"/>
        <w:numPr>
          <w:ilvl w:val="0"/>
          <w:numId w:val="10"/>
        </w:numPr>
      </w:pPr>
      <w:r>
        <w:t xml:space="preserve">Счета фактуры полученные выгружаются только с видом операции «На поступление» и только </w:t>
      </w:r>
      <w:r w:rsidR="00373464">
        <w:t xml:space="preserve">те, </w:t>
      </w:r>
      <w:r>
        <w:t xml:space="preserve">у которых документ основание </w:t>
      </w:r>
      <w:r w:rsidR="00373464">
        <w:t>с типом «</w:t>
      </w:r>
      <w:r>
        <w:t>Поступление товаров и услуг</w:t>
      </w:r>
      <w:r w:rsidR="00373464">
        <w:t>»</w:t>
      </w:r>
      <w:r>
        <w:t>.</w:t>
      </w:r>
    </w:p>
    <w:p w:rsidR="00B85B26" w:rsidRDefault="00B85B26" w:rsidP="00492551">
      <w:pPr>
        <w:pStyle w:val="a4"/>
        <w:numPr>
          <w:ilvl w:val="0"/>
          <w:numId w:val="10"/>
        </w:numPr>
      </w:pPr>
      <w:r>
        <w:t xml:space="preserve">При переносе возвратов товаров поставщикам документ поступления будет заполнен только для документов с типом </w:t>
      </w:r>
      <w:r w:rsidR="00373464">
        <w:t>«</w:t>
      </w:r>
      <w:r>
        <w:t>Поступление товаров и услуг</w:t>
      </w:r>
      <w:r w:rsidR="00373464">
        <w:t>»</w:t>
      </w:r>
      <w:r>
        <w:t>.</w:t>
      </w:r>
    </w:p>
    <w:p w:rsidR="009D1741" w:rsidRDefault="00570E9A" w:rsidP="00492551">
      <w:pPr>
        <w:pStyle w:val="a4"/>
        <w:numPr>
          <w:ilvl w:val="0"/>
          <w:numId w:val="10"/>
        </w:numPr>
      </w:pPr>
      <w:r>
        <w:t>Реализации товаров и услуг выгружаются только с видом операции «Продажа, комиссия».</w:t>
      </w:r>
    </w:p>
    <w:p w:rsidR="00570E9A" w:rsidRDefault="00570E9A" w:rsidP="00492551">
      <w:pPr>
        <w:pStyle w:val="a4"/>
        <w:numPr>
          <w:ilvl w:val="0"/>
          <w:numId w:val="10"/>
        </w:numPr>
      </w:pPr>
      <w:r>
        <w:t>При переносе реализаций товаров связь строк со строками заказа покупателя выполняется по простому алгоритму, поэтому есть вероятность, что часть строк не привяжутся к заказу. Реализации товаров нужно переносить или одновременно с заказами покупателей или после переноса заказов. Иначе строки реализаций вообще не будут связаны с заказом.</w:t>
      </w:r>
    </w:p>
    <w:p w:rsidR="00577FFD" w:rsidRDefault="00577FFD" w:rsidP="00492551">
      <w:pPr>
        <w:pStyle w:val="a4"/>
        <w:numPr>
          <w:ilvl w:val="0"/>
          <w:numId w:val="10"/>
        </w:numPr>
      </w:pPr>
      <w:r>
        <w:t xml:space="preserve">Счета фактуры выданные выгружаются только с видом операции «На реализацию» и только </w:t>
      </w:r>
      <w:r w:rsidR="00373464">
        <w:t xml:space="preserve">те, </w:t>
      </w:r>
      <w:r>
        <w:t>у которых документ основание</w:t>
      </w:r>
      <w:r w:rsidR="00373464">
        <w:t xml:space="preserve"> с типом «</w:t>
      </w:r>
      <w:r>
        <w:t xml:space="preserve"> Реализация товаров и услуг</w:t>
      </w:r>
      <w:r w:rsidR="00373464">
        <w:t>»</w:t>
      </w:r>
      <w:r>
        <w:t>.</w:t>
      </w:r>
    </w:p>
    <w:p w:rsidR="00577FFD" w:rsidRDefault="00577FFD" w:rsidP="00492551">
      <w:pPr>
        <w:pStyle w:val="a4"/>
        <w:numPr>
          <w:ilvl w:val="0"/>
          <w:numId w:val="10"/>
        </w:numPr>
      </w:pPr>
      <w:r>
        <w:t xml:space="preserve">При переносе возвратов товаров от покупателей документ продажи будет заполнен только для документов с типом </w:t>
      </w:r>
      <w:r w:rsidR="00373464">
        <w:t>«</w:t>
      </w:r>
      <w:r>
        <w:t>Реализация товаров и услуг</w:t>
      </w:r>
      <w:r w:rsidR="00373464">
        <w:t>»</w:t>
      </w:r>
      <w:r>
        <w:t>.</w:t>
      </w:r>
    </w:p>
    <w:p w:rsidR="00570E9A" w:rsidRDefault="00577FFD" w:rsidP="00492551">
      <w:pPr>
        <w:pStyle w:val="a4"/>
        <w:numPr>
          <w:ilvl w:val="0"/>
          <w:numId w:val="10"/>
        </w:numPr>
      </w:pPr>
      <w:r>
        <w:t>Платежные поручения входящие выгружаются  только с видами операции: оплата покупателя, возврат от поставщика, прочие расчеты с контрагентами, прочее поступление.</w:t>
      </w:r>
    </w:p>
    <w:p w:rsidR="00577FFD" w:rsidRDefault="00577FFD" w:rsidP="00492551">
      <w:pPr>
        <w:pStyle w:val="a4"/>
        <w:numPr>
          <w:ilvl w:val="0"/>
          <w:numId w:val="10"/>
        </w:numPr>
      </w:pPr>
      <w:r>
        <w:t>Платежные поручения исходящие выгружаются  только с видами операции: оплата поставщику, возврат покупателю, прочие расчеты с контрагентами, прочее списание.</w:t>
      </w:r>
    </w:p>
    <w:p w:rsidR="00577FFD" w:rsidRDefault="00577FFD" w:rsidP="00492551">
      <w:pPr>
        <w:pStyle w:val="a4"/>
        <w:numPr>
          <w:ilvl w:val="0"/>
          <w:numId w:val="10"/>
        </w:numPr>
      </w:pPr>
      <w:r>
        <w:t>Приходные кассовые ордера выгружаются  только с видами операции: оплата покупателя, возврат от поставщика, прочие расчеты с контрагентами, прочее поступление, прием розничной выручки.</w:t>
      </w:r>
    </w:p>
    <w:p w:rsidR="00577FFD" w:rsidRDefault="00577FFD" w:rsidP="00492551">
      <w:pPr>
        <w:pStyle w:val="a4"/>
        <w:numPr>
          <w:ilvl w:val="0"/>
          <w:numId w:val="10"/>
        </w:numPr>
      </w:pPr>
      <w:r>
        <w:t>Расходные кассовые ордера выгружаются  только с видами операции: оплата поставщику, возврат покупателю, прочие расчеты с контрагентами, прочее списание, выдача в кассу ККМ.</w:t>
      </w:r>
    </w:p>
    <w:p w:rsidR="000D3E5E" w:rsidRDefault="000D3E5E" w:rsidP="00492551">
      <w:pPr>
        <w:pStyle w:val="a4"/>
        <w:numPr>
          <w:ilvl w:val="0"/>
          <w:numId w:val="10"/>
        </w:numPr>
      </w:pPr>
      <w:r>
        <w:t>Все платежные документы нужно переносить или одновременно с заказами или после заказов</w:t>
      </w:r>
      <w:r w:rsidR="00F42E49">
        <w:t xml:space="preserve"> (при условии, что в УТ 10.3 ведется учет взаиморасчетов по заказам)</w:t>
      </w:r>
      <w:r>
        <w:t xml:space="preserve">. Иначе объект расчетов </w:t>
      </w:r>
      <w:r w:rsidR="00F42E49">
        <w:t xml:space="preserve">в УТ 11.5 </w:t>
      </w:r>
      <w:r>
        <w:t>может быть не заполнен.</w:t>
      </w:r>
    </w:p>
    <w:p w:rsidR="00577FFD" w:rsidRDefault="00492551" w:rsidP="00492551">
      <w:pPr>
        <w:pStyle w:val="a4"/>
        <w:numPr>
          <w:ilvl w:val="0"/>
          <w:numId w:val="10"/>
        </w:numPr>
        <w:rPr>
          <w:b/>
        </w:rPr>
      </w:pPr>
      <w:r w:rsidRPr="00492551">
        <w:rPr>
          <w:b/>
        </w:rPr>
        <w:t xml:space="preserve">Справочники из УТ 10.3 не выгружаются! Новые элементы в УТ 11.5 не создаются! Только выполняется поиск уже существующих элементов! Правила сопоставления </w:t>
      </w:r>
      <w:proofErr w:type="gramStart"/>
      <w:r w:rsidRPr="00492551">
        <w:rPr>
          <w:b/>
        </w:rPr>
        <w:t>см</w:t>
      </w:r>
      <w:proofErr w:type="gramEnd"/>
      <w:r w:rsidRPr="00492551">
        <w:rPr>
          <w:b/>
        </w:rPr>
        <w:t>. ниже.</w:t>
      </w:r>
    </w:p>
    <w:p w:rsidR="00577FFD" w:rsidRPr="004F2857" w:rsidRDefault="00EB3131" w:rsidP="00577FFD">
      <w:pPr>
        <w:rPr>
          <w:b/>
          <w:sz w:val="28"/>
          <w:szCs w:val="28"/>
        </w:rPr>
      </w:pPr>
      <w:r w:rsidRPr="004F2857">
        <w:rPr>
          <w:b/>
          <w:sz w:val="28"/>
          <w:szCs w:val="28"/>
        </w:rPr>
        <w:t>Правила сопоставления справочников:</w:t>
      </w:r>
    </w:p>
    <w:p w:rsidR="003248DC" w:rsidRDefault="003248DC" w:rsidP="003248DC">
      <w:r>
        <w:t xml:space="preserve">Номенклатура – поиск выполняется в несколько этапов. Сначала по внутреннему идентификатору. Если номенклатура не найдена, то по коду, если код заполнен. Если опять не </w:t>
      </w:r>
      <w:proofErr w:type="gramStart"/>
      <w:r>
        <w:t>найдена</w:t>
      </w:r>
      <w:proofErr w:type="gramEnd"/>
      <w:r>
        <w:t xml:space="preserve">, то по наименованию, если наименование заполнено. Если все равно не </w:t>
      </w:r>
      <w:proofErr w:type="gramStart"/>
      <w:r>
        <w:t>найдена</w:t>
      </w:r>
      <w:proofErr w:type="gramEnd"/>
      <w:r>
        <w:t>, то по артикулу, если он заполнен.</w:t>
      </w:r>
    </w:p>
    <w:p w:rsidR="003248DC" w:rsidRDefault="003248DC" w:rsidP="003248DC">
      <w:r>
        <w:t>Характеристика – по наименованию и владельцу характеристики.</w:t>
      </w:r>
    </w:p>
    <w:p w:rsidR="003248DC" w:rsidRDefault="003248DC" w:rsidP="003248DC">
      <w:r>
        <w:t>Упаковка номенклатуры – по коэффициенту и владельцу упаковки.</w:t>
      </w:r>
    </w:p>
    <w:p w:rsidR="003248DC" w:rsidRDefault="003248DC" w:rsidP="003248DC">
      <w:r>
        <w:lastRenderedPageBreak/>
        <w:t>Номер ГТД – по коду.</w:t>
      </w:r>
    </w:p>
    <w:p w:rsidR="003248DC" w:rsidRDefault="003248DC" w:rsidP="003248DC">
      <w:r>
        <w:t xml:space="preserve">Контрагент – сначала по внутреннему идентификатору. Если контрагент не найден, то по ИНН и КПП, если они заполнены. Если </w:t>
      </w:r>
      <w:proofErr w:type="gramStart"/>
      <w:r>
        <w:t>заполнен</w:t>
      </w:r>
      <w:proofErr w:type="gramEnd"/>
      <w:r>
        <w:t xml:space="preserve"> только ИНН, то по ИНН. Если не </w:t>
      </w:r>
      <w:proofErr w:type="gramStart"/>
      <w:r>
        <w:t>заполнены</w:t>
      </w:r>
      <w:proofErr w:type="gramEnd"/>
      <w:r>
        <w:t xml:space="preserve"> ни ИНН, ни КПП, то по наименованию.</w:t>
      </w:r>
    </w:p>
    <w:p w:rsidR="003248DC" w:rsidRDefault="003248DC" w:rsidP="003248DC">
      <w:r>
        <w:t xml:space="preserve">Договор контрагента – сначала по внутреннему идентификатору. Если договор не найден, то по номеру и дате договора, если они заполнены. Если номер и дата не </w:t>
      </w:r>
      <w:proofErr w:type="gramStart"/>
      <w:r>
        <w:t>заполнены</w:t>
      </w:r>
      <w:proofErr w:type="gramEnd"/>
      <w:r>
        <w:t>, то по наименованию.</w:t>
      </w:r>
    </w:p>
    <w:p w:rsidR="003248DC" w:rsidRDefault="003248DC" w:rsidP="003248DC">
      <w:r>
        <w:t>Соглашение с клиентом – сначала по внутреннему идентификатору. Если соглашение не найдено, то по наименованию, партнеру, валюте и хозяйственной операции.</w:t>
      </w:r>
    </w:p>
    <w:p w:rsidR="003248DC" w:rsidRDefault="003248DC" w:rsidP="003248DC">
      <w:r>
        <w:t>Контактное лицо – по наименованию и партнеру.</w:t>
      </w:r>
    </w:p>
    <w:p w:rsidR="003248DC" w:rsidRDefault="003248DC" w:rsidP="003248DC">
      <w:r>
        <w:t xml:space="preserve">Организация – сначала по ИНН и КПП, если они заполнены. Если </w:t>
      </w:r>
      <w:proofErr w:type="gramStart"/>
      <w:r>
        <w:t>заполнен</w:t>
      </w:r>
      <w:proofErr w:type="gramEnd"/>
      <w:r>
        <w:t xml:space="preserve"> только ИНН, то по ИНН. Если не </w:t>
      </w:r>
      <w:proofErr w:type="gramStart"/>
      <w:r>
        <w:t>заполнены</w:t>
      </w:r>
      <w:proofErr w:type="gramEnd"/>
      <w:r>
        <w:t xml:space="preserve"> ни ИНН, ни КПП, то по наименованию.</w:t>
      </w:r>
    </w:p>
    <w:p w:rsidR="003248DC" w:rsidRDefault="003248DC" w:rsidP="003248DC">
      <w:r>
        <w:t>Подразделение – по наименованию.</w:t>
      </w:r>
    </w:p>
    <w:p w:rsidR="003248DC" w:rsidRDefault="003248DC" w:rsidP="003248DC">
      <w:r>
        <w:t>Склад - по наименованию и типу склада.</w:t>
      </w:r>
    </w:p>
    <w:p w:rsidR="003248DC" w:rsidRDefault="003248DC" w:rsidP="003248DC">
      <w:r>
        <w:t>Банковский счет – по номеру счета и владельцу счета.</w:t>
      </w:r>
    </w:p>
    <w:p w:rsidR="003248DC" w:rsidRDefault="003248DC" w:rsidP="00577FFD">
      <w:r>
        <w:t>Касса – по наименованию, валюте и организации.</w:t>
      </w:r>
    </w:p>
    <w:p w:rsidR="003248DC" w:rsidRDefault="003248DC" w:rsidP="00577FFD">
      <w:r>
        <w:t>Касса ККМ – по организации и складу.</w:t>
      </w:r>
    </w:p>
    <w:p w:rsidR="003248DC" w:rsidRDefault="003248DC" w:rsidP="00577FFD">
      <w:proofErr w:type="spellStart"/>
      <w:r>
        <w:t>Эквайринговый</w:t>
      </w:r>
      <w:proofErr w:type="spellEnd"/>
      <w:r>
        <w:t xml:space="preserve"> терминал – по наименованию и организации связанного договора </w:t>
      </w:r>
      <w:proofErr w:type="spellStart"/>
      <w:r>
        <w:t>эквайринга</w:t>
      </w:r>
      <w:proofErr w:type="spellEnd"/>
      <w:r>
        <w:t>.</w:t>
      </w:r>
    </w:p>
    <w:p w:rsidR="00EB3131" w:rsidRDefault="00F954B4" w:rsidP="00577FFD">
      <w:r>
        <w:t>Валюта – по коду.</w:t>
      </w:r>
    </w:p>
    <w:p w:rsidR="00F954B4" w:rsidRDefault="00F954B4" w:rsidP="00577FFD">
      <w:r>
        <w:t>Пользователь – по наименованию.</w:t>
      </w:r>
    </w:p>
    <w:p w:rsidR="00651379" w:rsidRDefault="00651379" w:rsidP="00577FFD">
      <w:r>
        <w:t>Статья расходов – по наименованию.</w:t>
      </w:r>
    </w:p>
    <w:p w:rsidR="00651379" w:rsidRDefault="00651379" w:rsidP="00577FFD">
      <w:r>
        <w:t>Статья движения денежных средств – по наименованию.</w:t>
      </w:r>
    </w:p>
    <w:p w:rsidR="00F954B4" w:rsidRPr="00C10C3B" w:rsidRDefault="00C10C3B" w:rsidP="00577FFD">
      <w:pPr>
        <w:rPr>
          <w:b/>
          <w:sz w:val="28"/>
          <w:szCs w:val="28"/>
        </w:rPr>
      </w:pPr>
      <w:r w:rsidRPr="00C10C3B">
        <w:rPr>
          <w:b/>
          <w:sz w:val="28"/>
          <w:szCs w:val="28"/>
        </w:rPr>
        <w:t>Перенос справочников и остатков из УТ 10.3 в УТ 11.5</w:t>
      </w:r>
    </w:p>
    <w:p w:rsidR="00577FFD" w:rsidRDefault="00C10C3B">
      <w:r>
        <w:t>Для переноса справочников и остатков из конфигурации Управление торговлей 10.3 в конфигурацию Управление торговлей 11.5 нужно воспользоваться типовой обработкой от 1С. Она входит в комп</w:t>
      </w:r>
      <w:r w:rsidR="00562626">
        <w:t>лект поставки УТ 11.5. Обработку</w:t>
      </w:r>
      <w:r>
        <w:t xml:space="preserve"> можно найти</w:t>
      </w:r>
      <w:r w:rsidR="00562626">
        <w:t xml:space="preserve"> в каталоге шаблонов конфигураций и обновлений, после распаковки комплекта поставки УТ 11.5. Она будет в подкаталоге</w:t>
      </w:r>
      <w:r w:rsidR="006076C7" w:rsidRPr="006076C7">
        <w:t>&lt;</w:t>
      </w:r>
      <w:r w:rsidR="006076C7">
        <w:t>Каталог шаблонов</w:t>
      </w:r>
      <w:r w:rsidR="006076C7" w:rsidRPr="006076C7">
        <w:t>&gt;</w:t>
      </w:r>
      <w:r w:rsidR="00562626">
        <w:t xml:space="preserve"> \</w:t>
      </w:r>
      <w:r w:rsidR="00562626" w:rsidRPr="00562626">
        <w:t>1c\trade\</w:t>
      </w:r>
      <w:r w:rsidR="006076C7" w:rsidRPr="006076C7">
        <w:t>&lt;</w:t>
      </w:r>
      <w:r w:rsidR="006076C7">
        <w:t>ваш релиз УТ</w:t>
      </w:r>
      <w:r w:rsidR="006076C7" w:rsidRPr="006076C7">
        <w:t>&gt;</w:t>
      </w:r>
      <w:r w:rsidR="00562626" w:rsidRPr="00562626">
        <w:t>\</w:t>
      </w:r>
      <w:proofErr w:type="spellStart"/>
      <w:r w:rsidR="00562626" w:rsidRPr="00562626">
        <w:t>AddFiles\Переходы</w:t>
      </w:r>
      <w:proofErr w:type="spellEnd"/>
      <w:r w:rsidR="00562626" w:rsidRPr="00562626">
        <w:t xml:space="preserve"> с других конфигураций\УТ103</w:t>
      </w:r>
      <w:r w:rsidR="00562626">
        <w:t xml:space="preserve">, называется </w:t>
      </w:r>
      <w:r w:rsidR="00562626" w:rsidRPr="00562626">
        <w:t xml:space="preserve">Выгрузка </w:t>
      </w:r>
      <w:proofErr w:type="spellStart"/>
      <w:r w:rsidR="00562626" w:rsidRPr="00562626">
        <w:t>данных.epf</w:t>
      </w:r>
      <w:proofErr w:type="spellEnd"/>
      <w:r w:rsidR="00562626">
        <w:t xml:space="preserve">.  Там же есть файл </w:t>
      </w:r>
      <w:r w:rsidR="00562626" w:rsidRPr="00562626">
        <w:t>Conv10_3.txt</w:t>
      </w:r>
      <w:r w:rsidR="00562626">
        <w:t xml:space="preserve"> с описанием переноса данных.</w:t>
      </w:r>
    </w:p>
    <w:p w:rsidR="00562626" w:rsidRDefault="00562626">
      <w:r>
        <w:t xml:space="preserve">Обработку нужно запустить в УТ 10.3. На первом шаге нужно выбрать конфигурацию, в которую будет выполнен перенос данных. </w:t>
      </w:r>
    </w:p>
    <w:p w:rsidR="00206EA4" w:rsidRDefault="00206EA4">
      <w:r>
        <w:rPr>
          <w:noProof/>
        </w:rPr>
        <w:lastRenderedPageBreak/>
        <w:drawing>
          <wp:inline distT="0" distB="0" distL="0" distR="0">
            <wp:extent cx="5940425" cy="3689350"/>
            <wp:effectExtent l="19050" t="0" r="3175" b="0"/>
            <wp:docPr id="12" name="Рисунок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>На втором указать дату остатков и выбрать организации, по которым нужно переносить данные.</w:t>
      </w:r>
    </w:p>
    <w:p w:rsidR="00206EA4" w:rsidRDefault="00206EA4">
      <w:r>
        <w:rPr>
          <w:noProof/>
        </w:rPr>
        <w:drawing>
          <wp:inline distT="0" distB="0" distL="0" distR="0">
            <wp:extent cx="5940425" cy="3677920"/>
            <wp:effectExtent l="19050" t="0" r="3175" b="0"/>
            <wp:docPr id="13" name="Рисунок 1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 xml:space="preserve">На третьем </w:t>
      </w:r>
      <w:proofErr w:type="gramStart"/>
      <w:r>
        <w:t>шаге</w:t>
      </w:r>
      <w:proofErr w:type="gramEnd"/>
      <w:r>
        <w:t xml:space="preserve"> нужно выбрать </w:t>
      </w:r>
      <w:proofErr w:type="gramStart"/>
      <w:r>
        <w:t>какие</w:t>
      </w:r>
      <w:proofErr w:type="gramEnd"/>
      <w:r>
        <w:t xml:space="preserve"> данные нужно переносить.</w:t>
      </w:r>
    </w:p>
    <w:p w:rsidR="00206EA4" w:rsidRDefault="00206EA4">
      <w:r>
        <w:rPr>
          <w:noProof/>
        </w:rPr>
        <w:lastRenderedPageBreak/>
        <w:drawing>
          <wp:inline distT="0" distB="0" distL="0" distR="0">
            <wp:extent cx="5940425" cy="3697605"/>
            <wp:effectExtent l="19050" t="0" r="3175" b="0"/>
            <wp:docPr id="14" name="Рисунок 1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>На четвертом шаге нужно указать имя файла, куда будет выполнена выгрузка данных.</w:t>
      </w:r>
    </w:p>
    <w:p w:rsidR="00206EA4" w:rsidRDefault="00206EA4">
      <w:r>
        <w:rPr>
          <w:noProof/>
        </w:rPr>
        <w:drawing>
          <wp:inline distT="0" distB="0" distL="0" distR="0">
            <wp:extent cx="5940425" cy="3686175"/>
            <wp:effectExtent l="19050" t="0" r="3175" b="0"/>
            <wp:docPr id="15" name="Рисунок 1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>Для загрузки данных в УТ 11.5 нужно в разделе НСИ и Администрирование выбрать Начальное заполнение.</w:t>
      </w:r>
    </w:p>
    <w:p w:rsidR="00B30461" w:rsidRDefault="00B30461">
      <w:r>
        <w:rPr>
          <w:noProof/>
        </w:rPr>
        <w:lastRenderedPageBreak/>
        <w:drawing>
          <wp:inline distT="0" distB="0" distL="0" distR="0">
            <wp:extent cx="5940425" cy="3288030"/>
            <wp:effectExtent l="19050" t="0" r="3175" b="0"/>
            <wp:docPr id="16" name="Рисунок 1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>Затем выбрать Помощник перехода с  1С</w:t>
      </w:r>
      <w:proofErr w:type="gramStart"/>
      <w:r>
        <w:t>:У</w:t>
      </w:r>
      <w:proofErr w:type="gramEnd"/>
      <w:r>
        <w:t>правление торговлей ред. 10.3.</w:t>
      </w:r>
    </w:p>
    <w:p w:rsidR="00B30461" w:rsidRDefault="00B30461">
      <w:r>
        <w:rPr>
          <w:noProof/>
        </w:rPr>
        <w:drawing>
          <wp:inline distT="0" distB="0" distL="0" distR="0">
            <wp:extent cx="5940425" cy="3100705"/>
            <wp:effectExtent l="19050" t="0" r="3175" b="0"/>
            <wp:docPr id="17" name="Рисунок 1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26" w:rsidRDefault="00562626">
      <w:r>
        <w:t>Здесь нужно выбрать файл, выгруженный из УТ 10.3 и нажать на кнопку</w:t>
      </w:r>
      <w:proofErr w:type="gramStart"/>
      <w:r>
        <w:t xml:space="preserve"> З</w:t>
      </w:r>
      <w:proofErr w:type="gramEnd"/>
      <w:r>
        <w:t>агрузить данные.</w:t>
      </w:r>
    </w:p>
    <w:p w:rsidR="00B30461" w:rsidRDefault="00B30461">
      <w:r>
        <w:rPr>
          <w:noProof/>
        </w:rPr>
        <w:lastRenderedPageBreak/>
        <w:drawing>
          <wp:inline distT="0" distB="0" distL="0" distR="0">
            <wp:extent cx="5940425" cy="3471545"/>
            <wp:effectExtent l="19050" t="0" r="3175" b="0"/>
            <wp:docPr id="18" name="Рисунок 1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DA" w:rsidRPr="00C10C3B" w:rsidRDefault="005655DA" w:rsidP="005655DA">
      <w:pPr>
        <w:rPr>
          <w:b/>
          <w:sz w:val="28"/>
          <w:szCs w:val="28"/>
        </w:rPr>
      </w:pPr>
      <w:r w:rsidRPr="00C10C3B">
        <w:rPr>
          <w:b/>
          <w:sz w:val="28"/>
          <w:szCs w:val="28"/>
        </w:rPr>
        <w:t xml:space="preserve">Перенос </w:t>
      </w:r>
      <w:r>
        <w:rPr>
          <w:b/>
          <w:sz w:val="28"/>
          <w:szCs w:val="28"/>
        </w:rPr>
        <w:t>документов</w:t>
      </w:r>
      <w:r w:rsidRPr="00C10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(оборотов) </w:t>
      </w:r>
      <w:r w:rsidRPr="00C10C3B">
        <w:rPr>
          <w:b/>
          <w:sz w:val="28"/>
          <w:szCs w:val="28"/>
        </w:rPr>
        <w:t>из УТ 10.3 в УТ 11.5</w:t>
      </w:r>
    </w:p>
    <w:p w:rsidR="00E21C0F" w:rsidRDefault="00E21C0F">
      <w:r>
        <w:t>Для перенос</w:t>
      </w:r>
      <w:r w:rsidR="006076C7">
        <w:t>а</w:t>
      </w:r>
      <w:r>
        <w:t xml:space="preserve"> документов нужно запустить обработку </w:t>
      </w:r>
      <w:r w:rsidRPr="00DE0B90">
        <w:t>ВыгрузкаДокументовУТ103УТ115</w:t>
      </w:r>
      <w:r>
        <w:t xml:space="preserve"> в УТ 10.3.</w:t>
      </w:r>
    </w:p>
    <w:p w:rsidR="00E21C0F" w:rsidRDefault="00E21C0F">
      <w:r>
        <w:t>Здесь нужно выбрать файл выгрузки, куда будут выгружены данные, выбрать период, за который будут выгружены документы, а также отметить галочками те виды, документов, которые нужно выгрузить.</w:t>
      </w:r>
    </w:p>
    <w:p w:rsidR="00BF0481" w:rsidRDefault="00BF0481">
      <w:r>
        <w:rPr>
          <w:noProof/>
        </w:rPr>
        <w:lastRenderedPageBreak/>
        <w:drawing>
          <wp:inline distT="0" distB="0" distL="0" distR="0">
            <wp:extent cx="3915322" cy="5315692"/>
            <wp:effectExtent l="19050" t="0" r="8978" b="0"/>
            <wp:docPr id="19" name="Рисунок 1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0F" w:rsidRDefault="00E21C0F">
      <w:r>
        <w:t xml:space="preserve">При необходимости можно установить отбор по организации, тогда документы будут выгружены только по этой организации. Если организация не заполнена, то считается, что отбора по организации </w:t>
      </w:r>
      <w:proofErr w:type="gramStart"/>
      <w:r>
        <w:t>нет и будут</w:t>
      </w:r>
      <w:proofErr w:type="gramEnd"/>
      <w:r>
        <w:t xml:space="preserve"> выгружены документы по всем организациям.</w:t>
      </w:r>
    </w:p>
    <w:p w:rsidR="00E21C0F" w:rsidRDefault="00AF4174">
      <w:r>
        <w:t xml:space="preserve">Если установить галочку </w:t>
      </w:r>
      <w:r w:rsidR="006076C7">
        <w:t>«</w:t>
      </w:r>
      <w:r>
        <w:t>Только проведенные</w:t>
      </w:r>
      <w:r w:rsidR="006076C7">
        <w:t>»</w:t>
      </w:r>
      <w:r>
        <w:t>, то будут выгружаться только проведенные документы. По умолчанию выгружаются как проведенные, так и не проведенные</w:t>
      </w:r>
      <w:r w:rsidR="006076C7">
        <w:t xml:space="preserve"> документы</w:t>
      </w:r>
      <w:r>
        <w:t>. Помеченные на удаление документы не выгружаются.</w:t>
      </w:r>
    </w:p>
    <w:p w:rsidR="00AF4174" w:rsidRDefault="002F1E97">
      <w:r>
        <w:t>Данные выгружаются в текстовый файл в формате JSON.</w:t>
      </w:r>
    </w:p>
    <w:p w:rsidR="00861E51" w:rsidRDefault="00861E51">
      <w:r>
        <w:t xml:space="preserve">Для загрузки данных нужно в УТ 11.5 открыть обработку </w:t>
      </w:r>
      <w:r w:rsidRPr="00DE0B90">
        <w:t>ЗагрузкаДокументовУТ103УТ115</w:t>
      </w:r>
      <w:r>
        <w:t xml:space="preserve">. На форме нужно выбрать файл загрузки и нажать на кнопку </w:t>
      </w:r>
      <w:r w:rsidR="006076C7">
        <w:t>«</w:t>
      </w:r>
      <w:r>
        <w:t>Загрузить</w:t>
      </w:r>
      <w:r w:rsidR="006076C7">
        <w:t>»</w:t>
      </w:r>
      <w:r>
        <w:t>.</w:t>
      </w:r>
    </w:p>
    <w:p w:rsidR="00BF0481" w:rsidRDefault="00BF0481">
      <w:r>
        <w:rPr>
          <w:noProof/>
        </w:rPr>
        <w:lastRenderedPageBreak/>
        <w:drawing>
          <wp:inline distT="0" distB="0" distL="0" distR="0">
            <wp:extent cx="5744377" cy="3010320"/>
            <wp:effectExtent l="19050" t="0" r="8723" b="0"/>
            <wp:docPr id="20" name="Рисунок 1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E51" w:rsidRDefault="00861E51">
      <w:r>
        <w:t>Дополнительно можно указать следующие настройки:</w:t>
      </w:r>
    </w:p>
    <w:p w:rsidR="00861E51" w:rsidRDefault="00861E51" w:rsidP="006076C7">
      <w:pPr>
        <w:pStyle w:val="a4"/>
        <w:numPr>
          <w:ilvl w:val="0"/>
          <w:numId w:val="11"/>
        </w:numPr>
      </w:pPr>
      <w:r>
        <w:t>Проводить документы – п</w:t>
      </w:r>
      <w:r w:rsidRPr="00861E51">
        <w:t>ри загрузке будет выполнена попытка провести документы (если они были проведены в УТ 10.3)</w:t>
      </w:r>
      <w:r>
        <w:t>.</w:t>
      </w:r>
    </w:p>
    <w:p w:rsidR="00861E51" w:rsidRDefault="00861E51" w:rsidP="006076C7">
      <w:pPr>
        <w:pStyle w:val="a4"/>
        <w:numPr>
          <w:ilvl w:val="0"/>
          <w:numId w:val="11"/>
        </w:numPr>
      </w:pPr>
      <w:r>
        <w:t>Записывать документы в режиме обмена - д</w:t>
      </w:r>
      <w:r w:rsidRPr="00861E51">
        <w:t xml:space="preserve">окументы будут записаны в режиме обмена. Следует использовать только в случае невозможности загрузить в обычном режиме. Иначе часть служебных реквизитов могут быть не </w:t>
      </w:r>
      <w:proofErr w:type="gramStart"/>
      <w:r w:rsidRPr="00861E51">
        <w:t>заполнены</w:t>
      </w:r>
      <w:proofErr w:type="gramEnd"/>
      <w:r w:rsidRPr="00861E51">
        <w:t>.</w:t>
      </w:r>
    </w:p>
    <w:p w:rsidR="00861E51" w:rsidRDefault="00861E51" w:rsidP="006076C7">
      <w:pPr>
        <w:pStyle w:val="a4"/>
        <w:numPr>
          <w:ilvl w:val="0"/>
          <w:numId w:val="11"/>
        </w:numPr>
      </w:pPr>
      <w:r>
        <w:t>Сообщать о ненайденных справочниках - е</w:t>
      </w:r>
      <w:r w:rsidRPr="00861E51">
        <w:t>сли какой-то элемент справочника не будет найден, то будет выведено сообщение.</w:t>
      </w:r>
    </w:p>
    <w:p w:rsidR="00861E51" w:rsidRDefault="00861E51" w:rsidP="006076C7">
      <w:pPr>
        <w:pStyle w:val="a4"/>
        <w:numPr>
          <w:ilvl w:val="0"/>
          <w:numId w:val="11"/>
        </w:numPr>
      </w:pPr>
      <w:r>
        <w:t xml:space="preserve">Статья доходов для </w:t>
      </w:r>
      <w:proofErr w:type="spellStart"/>
      <w:r>
        <w:t>оприходований</w:t>
      </w:r>
      <w:proofErr w:type="spellEnd"/>
      <w:r>
        <w:t xml:space="preserve"> - д</w:t>
      </w:r>
      <w:r w:rsidRPr="00861E51">
        <w:t xml:space="preserve">анная статья доходов будет подставлена во все загруженные документы </w:t>
      </w:r>
      <w:proofErr w:type="spellStart"/>
      <w:r w:rsidRPr="00861E51">
        <w:t>оприходования</w:t>
      </w:r>
      <w:proofErr w:type="spellEnd"/>
      <w:r w:rsidRPr="00861E51">
        <w:t xml:space="preserve"> излишков товаров.</w:t>
      </w:r>
    </w:p>
    <w:p w:rsidR="00861E51" w:rsidRDefault="00861E51" w:rsidP="006076C7">
      <w:pPr>
        <w:pStyle w:val="a4"/>
        <w:numPr>
          <w:ilvl w:val="0"/>
          <w:numId w:val="11"/>
        </w:numPr>
      </w:pPr>
      <w:r>
        <w:t>Статья расходов для списаний - д</w:t>
      </w:r>
      <w:r w:rsidRPr="00861E51">
        <w:t>анная статья расходов будет подставлена во все загруженные документы списания недостач товаров.</w:t>
      </w:r>
    </w:p>
    <w:p w:rsidR="00861E51" w:rsidRDefault="008A4566" w:rsidP="006076C7">
      <w:pPr>
        <w:pStyle w:val="a4"/>
        <w:numPr>
          <w:ilvl w:val="0"/>
          <w:numId w:val="11"/>
        </w:numPr>
      </w:pPr>
      <w:r>
        <w:t xml:space="preserve">На закладке </w:t>
      </w:r>
      <w:r w:rsidR="006076C7">
        <w:t>«</w:t>
      </w:r>
      <w:r>
        <w:t>Служебные обработки</w:t>
      </w:r>
      <w:r w:rsidR="006076C7">
        <w:t>»</w:t>
      </w:r>
      <w:r>
        <w:t xml:space="preserve"> есть кнопка </w:t>
      </w:r>
      <w:r w:rsidR="006076C7">
        <w:t>«</w:t>
      </w:r>
      <w:r>
        <w:t>Перезаписать договоры</w:t>
      </w:r>
      <w:r w:rsidR="006076C7">
        <w:t>»</w:t>
      </w:r>
      <w:r>
        <w:t>. Данная кнопка п</w:t>
      </w:r>
      <w:r w:rsidRPr="008A4566">
        <w:t>ерезаписывает все договоры. Это нужно если договоры были перенесены типовым обменом из УТ 10.3 для создания элементов служебного справочника "Объекты расчетов"</w:t>
      </w:r>
      <w:r>
        <w:t>. Иначе могут не проводиться документы с ошибкой «Не найден объект расчетов».</w:t>
      </w:r>
    </w:p>
    <w:p w:rsidR="00BF0481" w:rsidRDefault="00BF0481" w:rsidP="00BF0481">
      <w:r>
        <w:rPr>
          <w:noProof/>
        </w:rPr>
        <w:lastRenderedPageBreak/>
        <w:drawing>
          <wp:inline distT="0" distB="0" distL="0" distR="0">
            <wp:extent cx="5706272" cy="3096057"/>
            <wp:effectExtent l="19050" t="0" r="8728" b="0"/>
            <wp:docPr id="21" name="Рисунок 2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4E" w:rsidRPr="00C20A4E" w:rsidRDefault="00C20A4E">
      <w:pPr>
        <w:rPr>
          <w:b/>
          <w:sz w:val="28"/>
          <w:szCs w:val="28"/>
        </w:rPr>
      </w:pPr>
      <w:r w:rsidRPr="00C20A4E">
        <w:rPr>
          <w:b/>
          <w:sz w:val="28"/>
          <w:szCs w:val="28"/>
        </w:rPr>
        <w:t>Алгоритм связи строк приобретения/реализации со строками заказа</w:t>
      </w:r>
    </w:p>
    <w:p w:rsidR="008E25A3" w:rsidRDefault="00BD4F97">
      <w:r>
        <w:t xml:space="preserve">Сначала в заказе ищется строка с такой же номенклатурой, характеристикой, упаковкой и количеством. Если </w:t>
      </w:r>
      <w:proofErr w:type="gramStart"/>
      <w:r>
        <w:t>найдена</w:t>
      </w:r>
      <w:proofErr w:type="gramEnd"/>
      <w:r>
        <w:t>, то строки будут связаны</w:t>
      </w:r>
    </w:p>
    <w:p w:rsidR="008E25A3" w:rsidRDefault="008E25A3" w:rsidP="008E25A3">
      <w:r>
        <w:t>Если строка в заказе не найдена, то выполняется еще одна попытка поиска строки по равенству номенклатуры, характеристики и упаковки.</w:t>
      </w:r>
      <w:r w:rsidR="00BD4F97">
        <w:t xml:space="preserve"> </w:t>
      </w:r>
      <w:r>
        <w:t xml:space="preserve">Если </w:t>
      </w:r>
      <w:proofErr w:type="gramStart"/>
      <w:r>
        <w:t>найдена</w:t>
      </w:r>
      <w:proofErr w:type="gramEnd"/>
      <w:r>
        <w:t xml:space="preserve">, то строки будут связаны. </w:t>
      </w:r>
    </w:p>
    <w:p w:rsidR="00C20A4E" w:rsidRDefault="008E25A3">
      <w:r>
        <w:t>Если строка в заказе все равно не найдена, то будет выполнен пои</w:t>
      </w:r>
      <w:proofErr w:type="gramStart"/>
      <w:r>
        <w:t>ск стр</w:t>
      </w:r>
      <w:proofErr w:type="gramEnd"/>
      <w:r>
        <w:t xml:space="preserve">оки по совпадению номенклатуры и характеристики. Если </w:t>
      </w:r>
      <w:proofErr w:type="gramStart"/>
      <w:r>
        <w:t>найдена</w:t>
      </w:r>
      <w:proofErr w:type="gramEnd"/>
      <w:r>
        <w:t xml:space="preserve">, то строки будут связаны. </w:t>
      </w:r>
    </w:p>
    <w:p w:rsidR="008E25A3" w:rsidRDefault="008E25A3" w:rsidP="008E25A3">
      <w:r>
        <w:t xml:space="preserve">Если </w:t>
      </w:r>
      <w:r w:rsidRPr="00BD4F97">
        <w:t xml:space="preserve">в заказе </w:t>
      </w:r>
      <w:r>
        <w:t>найдено более одной строки, то строка накладной будет привязана к первой попавшейся строке</w:t>
      </w:r>
      <w:r w:rsidR="00BE0E2F">
        <w:t xml:space="preserve"> заказа</w:t>
      </w:r>
      <w:r>
        <w:t>.</w:t>
      </w:r>
    </w:p>
    <w:p w:rsidR="008E25A3" w:rsidRPr="00BD4F97" w:rsidRDefault="008E25A3"/>
    <w:p w:rsidR="008A4566" w:rsidRDefault="008A4566"/>
    <w:p w:rsidR="002F1E97" w:rsidRPr="002F1E97" w:rsidRDefault="002F1E97"/>
    <w:p w:rsidR="00562626" w:rsidRDefault="00562626"/>
    <w:p w:rsidR="00821837" w:rsidRDefault="00821837"/>
    <w:p w:rsidR="006B2B3B" w:rsidRPr="000020AF" w:rsidRDefault="006B2B3B" w:rsidP="006B2B3B"/>
    <w:p w:rsidR="003B5FC5" w:rsidRDefault="003B5FC5"/>
    <w:p w:rsidR="003B5FC5" w:rsidRDefault="003B5FC5"/>
    <w:sectPr w:rsidR="003B5FC5" w:rsidSect="007A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E11"/>
    <w:multiLevelType w:val="hybridMultilevel"/>
    <w:tmpl w:val="3246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374"/>
    <w:multiLevelType w:val="hybridMultilevel"/>
    <w:tmpl w:val="E39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16C7"/>
    <w:multiLevelType w:val="hybridMultilevel"/>
    <w:tmpl w:val="B9C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63A"/>
    <w:multiLevelType w:val="hybridMultilevel"/>
    <w:tmpl w:val="C8F6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75A8D"/>
    <w:multiLevelType w:val="hybridMultilevel"/>
    <w:tmpl w:val="41D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36D10"/>
    <w:multiLevelType w:val="hybridMultilevel"/>
    <w:tmpl w:val="01B8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03B54"/>
    <w:multiLevelType w:val="hybridMultilevel"/>
    <w:tmpl w:val="E39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46D"/>
    <w:multiLevelType w:val="hybridMultilevel"/>
    <w:tmpl w:val="4672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74E1F"/>
    <w:multiLevelType w:val="hybridMultilevel"/>
    <w:tmpl w:val="5CC4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260BC"/>
    <w:multiLevelType w:val="hybridMultilevel"/>
    <w:tmpl w:val="143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A045F"/>
    <w:multiLevelType w:val="hybridMultilevel"/>
    <w:tmpl w:val="425E9924"/>
    <w:lvl w:ilvl="0" w:tplc="7DDCF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E75"/>
    <w:rsid w:val="000020AF"/>
    <w:rsid w:val="000164B5"/>
    <w:rsid w:val="00021DD6"/>
    <w:rsid w:val="00083060"/>
    <w:rsid w:val="00092C51"/>
    <w:rsid w:val="000A3F0F"/>
    <w:rsid w:val="000D3E5E"/>
    <w:rsid w:val="00206EA4"/>
    <w:rsid w:val="0026097E"/>
    <w:rsid w:val="002F1E97"/>
    <w:rsid w:val="002F36F2"/>
    <w:rsid w:val="00303A0A"/>
    <w:rsid w:val="003248DC"/>
    <w:rsid w:val="00367D7C"/>
    <w:rsid w:val="003717AB"/>
    <w:rsid w:val="00373464"/>
    <w:rsid w:val="0037538B"/>
    <w:rsid w:val="0039724F"/>
    <w:rsid w:val="003B5FC5"/>
    <w:rsid w:val="00492551"/>
    <w:rsid w:val="0049770C"/>
    <w:rsid w:val="004B5C01"/>
    <w:rsid w:val="004F2857"/>
    <w:rsid w:val="00510759"/>
    <w:rsid w:val="00544688"/>
    <w:rsid w:val="00553802"/>
    <w:rsid w:val="00562626"/>
    <w:rsid w:val="005655DA"/>
    <w:rsid w:val="00570E9A"/>
    <w:rsid w:val="00577FFD"/>
    <w:rsid w:val="005823F4"/>
    <w:rsid w:val="005D11E4"/>
    <w:rsid w:val="006076C7"/>
    <w:rsid w:val="0061473C"/>
    <w:rsid w:val="00626B83"/>
    <w:rsid w:val="00651379"/>
    <w:rsid w:val="00685B59"/>
    <w:rsid w:val="006B2B3B"/>
    <w:rsid w:val="0073102D"/>
    <w:rsid w:val="00743072"/>
    <w:rsid w:val="007A4D99"/>
    <w:rsid w:val="007B4D07"/>
    <w:rsid w:val="00821837"/>
    <w:rsid w:val="00845C41"/>
    <w:rsid w:val="00846CFD"/>
    <w:rsid w:val="00861E51"/>
    <w:rsid w:val="008A4566"/>
    <w:rsid w:val="008D70A3"/>
    <w:rsid w:val="008E25A3"/>
    <w:rsid w:val="0094516E"/>
    <w:rsid w:val="009A745D"/>
    <w:rsid w:val="009D1741"/>
    <w:rsid w:val="009E405C"/>
    <w:rsid w:val="00A04572"/>
    <w:rsid w:val="00A56097"/>
    <w:rsid w:val="00AB2FD0"/>
    <w:rsid w:val="00AC00D4"/>
    <w:rsid w:val="00AC58A3"/>
    <w:rsid w:val="00AF4174"/>
    <w:rsid w:val="00B30461"/>
    <w:rsid w:val="00B85B26"/>
    <w:rsid w:val="00BB72A8"/>
    <w:rsid w:val="00BD351D"/>
    <w:rsid w:val="00BD4F97"/>
    <w:rsid w:val="00BE0E2F"/>
    <w:rsid w:val="00BF0481"/>
    <w:rsid w:val="00C10C3B"/>
    <w:rsid w:val="00C10C8A"/>
    <w:rsid w:val="00C206C2"/>
    <w:rsid w:val="00C20A4E"/>
    <w:rsid w:val="00C3210E"/>
    <w:rsid w:val="00C33E75"/>
    <w:rsid w:val="00C4473C"/>
    <w:rsid w:val="00C54215"/>
    <w:rsid w:val="00C90E34"/>
    <w:rsid w:val="00CB0933"/>
    <w:rsid w:val="00CC71BC"/>
    <w:rsid w:val="00D12029"/>
    <w:rsid w:val="00D674A3"/>
    <w:rsid w:val="00DE0B90"/>
    <w:rsid w:val="00E03425"/>
    <w:rsid w:val="00E050C4"/>
    <w:rsid w:val="00E21C0F"/>
    <w:rsid w:val="00EB3131"/>
    <w:rsid w:val="00F07067"/>
    <w:rsid w:val="00F07ACA"/>
    <w:rsid w:val="00F42822"/>
    <w:rsid w:val="00F42E49"/>
    <w:rsid w:val="00F51354"/>
    <w:rsid w:val="00F849F8"/>
    <w:rsid w:val="00F954B4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2022-09-07T10:20:00Z</dcterms:created>
  <dcterms:modified xsi:type="dcterms:W3CDTF">2023-02-06T10:30:00Z</dcterms:modified>
</cp:coreProperties>
</file>