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Задача: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Сделать обмен складами и типами цен в соответствии со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спецификацией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Добавить галочки “выгружать\не выгружать в ИМ” напротив типа цены, чтобы выгружать определенный тип в ИМ или не выгружать</w:t>
        <w:br w:type="textWrapping"/>
      </w:r>
      <w:r w:rsidDel="00000000" w:rsidR="00000000" w:rsidRPr="00000000">
        <w:rPr/>
        <w:drawing>
          <wp:inline distB="114300" distT="114300" distL="114300" distR="114300">
            <wp:extent cx="5731200" cy="27686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6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Добавить галочки “выгружать\не выгружать в ИМ” напротив складов, чтобы выгружать определенный склад в ИМ или не выгружать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Уже реализованная галочка “выгружать в ИМ” напротив номенклатуры должна также отвечать за выгрузку номенклатуры на склад в ИМ: если галочка не нажата - номенклатура не выгружается в ИМ и не числиться на складе в ИМ(перестает числиться, если раньше она числилась на складе в ИМ)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процесса работы складов и типов цен между 1С и Битрикс: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1С назначаются склады и отдельно типы цен для каждой номенклатуры. Склады и типы цен передаются на Битрикс раздельно в соответствии со спецификацией.</w:t>
        <w:br w:type="textWrapping"/>
        <w:t xml:space="preserve">На битриксе назначается город, к нему привязывается один или несколько складов, и к ним привязывается один тип цены.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731200" cy="6629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662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krovelson.bitrix.dev.realweb.ru/1c-exchange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