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B8" w:rsidRPr="00426FB8" w:rsidRDefault="00426FB8" w:rsidP="00426FB8">
      <w:pPr>
        <w:numPr>
          <w:ilvl w:val="0"/>
          <w:numId w:val="1"/>
        </w:numPr>
        <w:spacing w:after="120" w:line="240" w:lineRule="auto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426FB8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В документе Поступление товаров и услуг не учтено, что движение по счету Товары должно выполняться только для номенклатуры с видом Товар.</w:t>
      </w:r>
    </w:p>
    <w:p w:rsidR="00426FB8" w:rsidRPr="00426FB8" w:rsidRDefault="00426FB8" w:rsidP="00426FB8">
      <w:pPr>
        <w:numPr>
          <w:ilvl w:val="0"/>
          <w:numId w:val="1"/>
        </w:numPr>
        <w:spacing w:after="120" w:line="240" w:lineRule="auto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426FB8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В документе Реализация товаров и услуг не реализована обработка проведения в соответствии с заданием.</w:t>
      </w:r>
    </w:p>
    <w:p w:rsidR="00426FB8" w:rsidRPr="00426FB8" w:rsidRDefault="00426FB8" w:rsidP="00426FB8">
      <w:pPr>
        <w:numPr>
          <w:ilvl w:val="0"/>
          <w:numId w:val="1"/>
        </w:numPr>
        <w:spacing w:after="120" w:line="240" w:lineRule="auto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426FB8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В документах Списание и Поступление денежных средств должна проводка либо с одним счетом </w:t>
      </w:r>
      <w:proofErr w:type="spellStart"/>
      <w:r w:rsidRPr="00426FB8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ДенежныеСредства</w:t>
      </w:r>
      <w:proofErr w:type="spellEnd"/>
      <w:r w:rsidRPr="00426FB8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(</w:t>
      </w:r>
      <w:proofErr w:type="spellStart"/>
      <w:r w:rsidRPr="00426FB8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Дт</w:t>
      </w:r>
      <w:proofErr w:type="spellEnd"/>
      <w:r w:rsidRPr="00426FB8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или </w:t>
      </w:r>
      <w:proofErr w:type="spellStart"/>
      <w:r w:rsidRPr="00426FB8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Кт</w:t>
      </w:r>
      <w:proofErr w:type="spellEnd"/>
      <w:r w:rsidRPr="00426FB8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в зависимости от документа) и корреспондирующим счетом либо расчеты с сотрудниками, либо расчеты с поставщиками, либо расчеты с покупателями - в зависимости от типа документа и типа Плательщика / Получателя. Необходимо привести аналитику формируемых проводок в соответствие заданию.</w:t>
      </w:r>
    </w:p>
    <w:p w:rsidR="00426FB8" w:rsidRPr="00426FB8" w:rsidRDefault="00426FB8" w:rsidP="00426FB8">
      <w:pPr>
        <w:numPr>
          <w:ilvl w:val="0"/>
          <w:numId w:val="1"/>
        </w:numPr>
        <w:spacing w:after="120" w:line="240" w:lineRule="auto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426FB8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В документе Начисление по окладу не реализован алгоритм расчета оклада и формирования движений по бухгалтерскому регистру.</w:t>
      </w:r>
    </w:p>
    <w:p w:rsidR="003A40F5" w:rsidRDefault="00426FB8" w:rsidP="00426FB8">
      <w:pPr>
        <w:numPr>
          <w:ilvl w:val="0"/>
          <w:numId w:val="1"/>
        </w:numPr>
        <w:spacing w:after="120" w:line="240" w:lineRule="auto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426FB8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В документе Начисление премии процентом не реализован алгоритм формирования движений по бухгалтерскому регистру.</w:t>
      </w:r>
    </w:p>
    <w:p w:rsidR="00426FB8" w:rsidRDefault="00426FB8" w:rsidP="00426FB8">
      <w:pPr>
        <w:spacing w:after="12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4A4A4A"/>
          <w:sz w:val="27"/>
          <w:szCs w:val="27"/>
          <w:lang w:eastAsia="ru-RU"/>
        </w:rPr>
        <w:t>(1)</w:t>
      </w:r>
    </w:p>
    <w:p w:rsidR="00426FB8" w:rsidRPr="00426FB8" w:rsidRDefault="00426FB8" w:rsidP="00426F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Доработать обработчик проведения документа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ПоступлениеТоваровИУслуг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:</w:t>
      </w:r>
    </w:p>
    <w:p w:rsidR="00426FB8" w:rsidRPr="00426FB8" w:rsidRDefault="00426FB8" w:rsidP="00426F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для строк с номенклатурой вида Товар формировать движение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Дт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Товары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 с заполнением субконто Номенклатура —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Кт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РасчетыСПоставщиками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с заполнением субконто Контрагенты на сумму строки;</w:t>
      </w:r>
    </w:p>
    <w:p w:rsidR="00426FB8" w:rsidRDefault="00426FB8" w:rsidP="00426FB8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для строк с номенклатурой вида Услуга формировать движение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Дт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Расходы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 —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Кт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РасчетыСПоставщиками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с заполнением субконто Контрагенты на сумму строки.</w:t>
      </w:r>
    </w:p>
    <w:p w:rsidR="00426FB8" w:rsidRPr="00426FB8" w:rsidRDefault="00426FB8" w:rsidP="00426FB8">
      <w:p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(2) и (3)</w:t>
      </w:r>
    </w:p>
    <w:p w:rsidR="00426FB8" w:rsidRPr="00426FB8" w:rsidRDefault="00426FB8" w:rsidP="00426F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Доработать обработчик проведения документа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РеализацияТоваровИУслуг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:</w:t>
      </w:r>
    </w:p>
    <w:p w:rsidR="00426FB8" w:rsidRPr="00426FB8" w:rsidRDefault="00426FB8" w:rsidP="00426F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формировать движение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Дт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РасчетыСПокупателями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 с заполнением субконто Контрагенты —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Кт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Выручка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на общую сумму продажи (по всем строкам);</w:t>
      </w:r>
    </w:p>
    <w:p w:rsidR="00426FB8" w:rsidRDefault="00426FB8" w:rsidP="00426FB8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для строк с номенклатурой вида Товар формировать движение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Дт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Расходы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 —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Кт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Товары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с заполнением субконто Номенклатура на сумму себестоимости списанного товара. Себестоимость должна рассчитываться по данным регистра бухгалтерии, а не по данным регистра накопления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Товары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. Данные регистра бухгалтерии нужно получать запросом к виртуальной таблице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РегистрБухгалтерии</w:t>
      </w:r>
      <w:proofErr w:type="gram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.У</w:t>
      </w:r>
      <w:proofErr w:type="gramEnd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правленческий.Остатки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 на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МоментВремени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() проводимого документа. При списании необходимо проверять, что количества товара достаточно для списания.</w:t>
      </w:r>
    </w:p>
    <w:p w:rsidR="00426FB8" w:rsidRPr="00426FB8" w:rsidRDefault="00426FB8" w:rsidP="00426FB8">
      <w:p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lastRenderedPageBreak/>
        <w:t>(4)</w:t>
      </w:r>
    </w:p>
    <w:p w:rsidR="00426FB8" w:rsidRPr="00426FB8" w:rsidRDefault="00426FB8" w:rsidP="00426F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Добавить документ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НачислениеОплатыПоОкладу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для начисления оплаты по окладу с учётом фактически отработанного времени:</w:t>
      </w:r>
    </w:p>
    <w:p w:rsidR="00426FB8" w:rsidRPr="00426FB8" w:rsidRDefault="00426FB8" w:rsidP="00426F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 обязательным реквизитом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ЗаМесяц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типа Дата с форматом «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MM.yyyy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», чтобы пользователь видел только месяц;</w:t>
      </w:r>
    </w:p>
    <w:p w:rsidR="00426FB8" w:rsidRPr="00426FB8" w:rsidRDefault="00426FB8" w:rsidP="00426FB8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 табличной частью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Сотрудники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с единственным реквизитом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Сотрудник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(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СправочникСсылка</w:t>
      </w:r>
      <w:proofErr w:type="gram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.С</w:t>
      </w:r>
      <w:proofErr w:type="gram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отрудники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);</w:t>
      </w:r>
    </w:p>
    <w:p w:rsidR="00426FB8" w:rsidRPr="00426FB8" w:rsidRDefault="00426FB8" w:rsidP="00426FB8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создать для него понятную форму документа;</w:t>
      </w:r>
    </w:p>
    <w:p w:rsidR="00426FB8" w:rsidRPr="00426FB8" w:rsidRDefault="00426FB8" w:rsidP="00426FB8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на закладке «Движения» сделать его регистратором для регистра расчета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Зарплата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и для регистра бухгалтерии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Управленческий</w:t>
      </w:r>
    </w:p>
    <w:p w:rsidR="00426FB8" w:rsidRPr="00426FB8" w:rsidRDefault="00426FB8" w:rsidP="00426FB8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в обработке проведения:</w:t>
      </w:r>
    </w:p>
    <w:p w:rsidR="00426FB8" w:rsidRPr="00426FB8" w:rsidRDefault="00426FB8" w:rsidP="00426FB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записать движения, пока без сумм, по регистру расчёта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Зарплата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. При этом:</w:t>
      </w:r>
    </w:p>
    <w:p w:rsidR="00426FB8" w:rsidRPr="00426FB8" w:rsidRDefault="00426FB8" w:rsidP="00426FB8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в качестве периода регистрации указать дату документа, а в качестве периода действия — начало и конец месяца даты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ЗаМесяц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;</w:t>
      </w:r>
    </w:p>
    <w:p w:rsidR="00426FB8" w:rsidRPr="00426FB8" w:rsidRDefault="00426FB8" w:rsidP="00426FB8">
      <w:pPr>
        <w:numPr>
          <w:ilvl w:val="2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в качестве вида расчёта указать предопределенный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ПланыВидовРасчета</w:t>
      </w:r>
      <w:proofErr w:type="gram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.Н</w:t>
      </w:r>
      <w:proofErr w:type="gram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ачисления.ОплатаПоОкладу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;</w:t>
      </w:r>
    </w:p>
    <w:p w:rsidR="00426FB8" w:rsidRPr="00426FB8" w:rsidRDefault="00426FB8" w:rsidP="00426FB8">
      <w:pPr>
        <w:numPr>
          <w:ilvl w:val="1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после записи движений документа, выполнить запрос к ним, в запросе:</w:t>
      </w:r>
    </w:p>
    <w:p w:rsidR="00426FB8" w:rsidRPr="00426FB8" w:rsidRDefault="00426FB8" w:rsidP="00426FB8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получить оклад для каждого сотрудника,</w:t>
      </w:r>
    </w:p>
    <w:p w:rsidR="00426FB8" w:rsidRPr="00426FB8" w:rsidRDefault="00426FB8" w:rsidP="00426FB8">
      <w:pPr>
        <w:numPr>
          <w:ilvl w:val="2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получить факт и норму из соответствующей виртуальной таблицы регистра расчёта,</w:t>
      </w:r>
    </w:p>
    <w:p w:rsidR="00426FB8" w:rsidRPr="00426FB8" w:rsidRDefault="00426FB8" w:rsidP="00426FB8">
      <w:pPr>
        <w:numPr>
          <w:ilvl w:val="2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получить номер строки движений для последующего обращения к </w:t>
      </w:r>
      <w:proofErr w:type="gram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нужному</w:t>
      </w:r>
      <w:proofErr w:type="gram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;</w:t>
      </w:r>
    </w:p>
    <w:p w:rsidR="00426FB8" w:rsidRPr="00426FB8" w:rsidRDefault="00426FB8" w:rsidP="00426FB8">
      <w:pPr>
        <w:numPr>
          <w:ilvl w:val="1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обойти результат запроса, на каждой итерации цикла выполнив расчёт суммы путем умножения оклада на частное деления факта на норму:</w:t>
      </w:r>
    </w:p>
    <w:p w:rsidR="00426FB8" w:rsidRPr="00426FB8" w:rsidRDefault="00426FB8" w:rsidP="0042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</w:pPr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ab/>
        <w:t xml:space="preserve">Пока </w:t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Выборка</w:t>
      </w:r>
      <w:proofErr w:type="gram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.С</w:t>
      </w:r>
      <w:proofErr w:type="gram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ледующий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() Цикл</w:t>
      </w:r>
    </w:p>
    <w:p w:rsidR="00426FB8" w:rsidRPr="00426FB8" w:rsidRDefault="00426FB8" w:rsidP="0042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</w:pPr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ab/>
      </w:r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ab/>
        <w:t xml:space="preserve">Движение = </w:t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Движения</w:t>
      </w:r>
      <w:proofErr w:type="gram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.З</w:t>
      </w:r>
      <w:proofErr w:type="gram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арплата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[</w:t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Выборка.НомерСтроки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 xml:space="preserve"> - 1];</w:t>
      </w:r>
    </w:p>
    <w:p w:rsidR="00426FB8" w:rsidRPr="00426FB8" w:rsidRDefault="00426FB8" w:rsidP="0042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</w:pPr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ab/>
      </w:r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ab/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Движение</w:t>
      </w:r>
      <w:proofErr w:type="gram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.С</w:t>
      </w:r>
      <w:proofErr w:type="gram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умма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 xml:space="preserve"> = </w:t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Выборка.Оклад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 xml:space="preserve"> * </w:t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Выборка.Факт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 xml:space="preserve"> / </w:t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Выборка.План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;</w:t>
      </w:r>
    </w:p>
    <w:p w:rsidR="00426FB8" w:rsidRPr="00426FB8" w:rsidRDefault="00426FB8" w:rsidP="0042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</w:pPr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ab/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КонецЦикла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;</w:t>
      </w:r>
    </w:p>
    <w:p w:rsidR="00426FB8" w:rsidRPr="00426FB8" w:rsidRDefault="00426FB8" w:rsidP="00426F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определив сумму, сформировать парное движение на такую же сумму по регистру бухгалтерии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Управленческий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 в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Дт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 счета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Расходы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 и в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Кт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 счета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РасчетыССотрудникми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, заполнив субконто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Сотрудник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.</w:t>
      </w:r>
    </w:p>
    <w:p w:rsidR="00426FB8" w:rsidRPr="00426FB8" w:rsidRDefault="00426FB8" w:rsidP="00426FB8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создав документ, заполните календарь и убедитесь в том, что документ:</w:t>
      </w:r>
    </w:p>
    <w:p w:rsidR="00426FB8" w:rsidRPr="00426FB8" w:rsidRDefault="00426FB8" w:rsidP="00426FB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в отсутствие вытесняющих начислений начисляет за месяц полную сумму оклада,</w:t>
      </w:r>
    </w:p>
    <w:p w:rsidR="00426FB8" w:rsidRDefault="00426FB8" w:rsidP="00426FB8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после ввода оклада или больничного документом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НачислениеСписком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уменьшает начисления по окладу пропорционально дням невыхода.</w:t>
      </w:r>
    </w:p>
    <w:p w:rsidR="00426FB8" w:rsidRPr="00426FB8" w:rsidRDefault="00426FB8" w:rsidP="00426FB8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lastRenderedPageBreak/>
        <w:t>(5)</w:t>
      </w:r>
      <w:bookmarkStart w:id="0" w:name="_GoBack"/>
      <w:bookmarkEnd w:id="0"/>
    </w:p>
    <w:p w:rsidR="00426FB8" w:rsidRPr="00426FB8" w:rsidRDefault="00426FB8" w:rsidP="00426F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Добавить документ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НачислениеПремииПроцентом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для начисления премии процентом от оклада:</w:t>
      </w:r>
    </w:p>
    <w:p w:rsidR="00426FB8" w:rsidRPr="00426FB8" w:rsidRDefault="00426FB8" w:rsidP="00426F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 обязательным числовым реквизитом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Процент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;</w:t>
      </w:r>
    </w:p>
    <w:p w:rsidR="00426FB8" w:rsidRPr="00426FB8" w:rsidRDefault="00426FB8" w:rsidP="00426FB8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 обязательным реквизитом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ЗаМесяц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типа Дата с форматом «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MM.yyyy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», чтобы пользователь видел только месяц;</w:t>
      </w:r>
    </w:p>
    <w:p w:rsidR="00426FB8" w:rsidRPr="00426FB8" w:rsidRDefault="00426FB8" w:rsidP="00426FB8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 табличной частью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Сотрудники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с единственным реквизитом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Сотрудник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(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СправочникСсылка</w:t>
      </w:r>
      <w:proofErr w:type="gram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.С</w:t>
      </w:r>
      <w:proofErr w:type="gram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отрудники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);</w:t>
      </w:r>
    </w:p>
    <w:p w:rsidR="00426FB8" w:rsidRPr="00426FB8" w:rsidRDefault="00426FB8" w:rsidP="00426FB8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создать для него понятную форму документа;</w:t>
      </w:r>
    </w:p>
    <w:p w:rsidR="00426FB8" w:rsidRPr="00426FB8" w:rsidRDefault="00426FB8" w:rsidP="00426FB8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на закладке «Движения» сделать его регистратором для регистра расчёта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Зарплата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и для регистра бухгалтерии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Управленческий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;</w:t>
      </w:r>
    </w:p>
    <w:p w:rsidR="00426FB8" w:rsidRPr="00426FB8" w:rsidRDefault="00426FB8" w:rsidP="00426FB8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в обработке проведения:</w:t>
      </w:r>
    </w:p>
    <w:p w:rsidR="00426FB8" w:rsidRPr="00426FB8" w:rsidRDefault="00426FB8" w:rsidP="00426FB8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записать движения, пока без сумм, по регистру расчета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Зарплата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. При этом:</w:t>
      </w:r>
    </w:p>
    <w:p w:rsidR="00426FB8" w:rsidRPr="00426FB8" w:rsidRDefault="00426FB8" w:rsidP="00426FB8">
      <w:pPr>
        <w:numPr>
          <w:ilvl w:val="2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в качестве периода регистрации указать дату документа, а в качестве периода действия и базового периода действия — начало и конец месяца даты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ЗаМесяц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;</w:t>
      </w:r>
    </w:p>
    <w:p w:rsidR="00426FB8" w:rsidRPr="00426FB8" w:rsidRDefault="00426FB8" w:rsidP="00426FB8">
      <w:pPr>
        <w:numPr>
          <w:ilvl w:val="2"/>
          <w:numId w:val="10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в качестве вида расчета указать предопределенный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ПланыВидовРасчета</w:t>
      </w:r>
      <w:proofErr w:type="gram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.Н</w:t>
      </w:r>
      <w:proofErr w:type="gram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ачисления.ПремияПроцентом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;</w:t>
      </w:r>
    </w:p>
    <w:p w:rsidR="00426FB8" w:rsidRPr="00426FB8" w:rsidRDefault="00426FB8" w:rsidP="00426FB8">
      <w:pPr>
        <w:numPr>
          <w:ilvl w:val="1"/>
          <w:numId w:val="10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записав движения, получить базу запросом к соответствующей виртуальной таблице;</w:t>
      </w:r>
    </w:p>
    <w:p w:rsidR="00426FB8" w:rsidRPr="00426FB8" w:rsidRDefault="00426FB8" w:rsidP="00426FB8">
      <w:pPr>
        <w:numPr>
          <w:ilvl w:val="1"/>
          <w:numId w:val="10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обойти результат запроса, на каждой итерации цикла выполнив расчёт премии, умножив базу на процент премии и поделив на 100.</w:t>
      </w:r>
    </w:p>
    <w:p w:rsidR="00426FB8" w:rsidRPr="00426FB8" w:rsidRDefault="00426FB8" w:rsidP="0042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</w:pPr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ab/>
        <w:t xml:space="preserve">Пока </w:t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Выборка</w:t>
      </w:r>
      <w:proofErr w:type="gram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.С</w:t>
      </w:r>
      <w:proofErr w:type="gram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ледующий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() Цикл</w:t>
      </w:r>
    </w:p>
    <w:p w:rsidR="00426FB8" w:rsidRPr="00426FB8" w:rsidRDefault="00426FB8" w:rsidP="0042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</w:pPr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ab/>
      </w:r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ab/>
        <w:t xml:space="preserve">Движение = </w:t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Движения</w:t>
      </w:r>
      <w:proofErr w:type="gram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.З</w:t>
      </w:r>
      <w:proofErr w:type="gram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арплата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[</w:t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Выборка.НомерСтроки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 xml:space="preserve"> - 1];</w:t>
      </w:r>
    </w:p>
    <w:p w:rsidR="00426FB8" w:rsidRPr="00426FB8" w:rsidRDefault="00426FB8" w:rsidP="0042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</w:pPr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ab/>
      </w:r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ab/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Движение</w:t>
      </w:r>
      <w:proofErr w:type="gram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.С</w:t>
      </w:r>
      <w:proofErr w:type="gram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умма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 xml:space="preserve"> = </w:t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Выборка.СуммаБаза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 xml:space="preserve"> * Процент / 100;</w:t>
      </w:r>
    </w:p>
    <w:p w:rsidR="00426FB8" w:rsidRPr="00426FB8" w:rsidRDefault="00426FB8" w:rsidP="0042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</w:pPr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ab/>
      </w:r>
      <w:proofErr w:type="spellStart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КонецЦикла</w:t>
      </w:r>
      <w:proofErr w:type="spellEnd"/>
      <w:r w:rsidRPr="00426FB8">
        <w:rPr>
          <w:rFonts w:ascii="Consolas" w:eastAsia="Times New Roman" w:hAnsi="Consolas" w:cs="Consolas"/>
          <w:color w:val="1F2328"/>
          <w:sz w:val="20"/>
          <w:szCs w:val="20"/>
          <w:lang w:eastAsia="ru-RU"/>
        </w:rPr>
        <w:t>;</w:t>
      </w:r>
    </w:p>
    <w:p w:rsidR="00426FB8" w:rsidRPr="00426FB8" w:rsidRDefault="00426FB8" w:rsidP="00426F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определив сумму, сформировать парное движение на такую же сумму по регистру бухгалтерии </w:t>
      </w:r>
      <w:proofErr w:type="gram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Управленческий</w:t>
      </w:r>
      <w:proofErr w:type="gram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 в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Дт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 счета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Расходы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 и в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Кт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 счета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РасчетыССотрудниками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, заполнив субконто </w:t>
      </w:r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Сотрудник</w:t>
      </w: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;</w:t>
      </w:r>
    </w:p>
    <w:p w:rsidR="00426FB8" w:rsidRPr="00426FB8" w:rsidRDefault="00426FB8" w:rsidP="00426FB8">
      <w:pPr>
        <w:numPr>
          <w:ilvl w:val="0"/>
          <w:numId w:val="1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создав документ, проверьте себя, начислив премию процентом от оклада и выплатив все начисления документом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СписаниеДенежныхСредств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. В </w:t>
      </w:r>
      <w:proofErr w:type="spell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оборотно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-сальдовой ведомости кредитовые обороты счета </w:t>
      </w:r>
      <w:proofErr w:type="spellStart"/>
      <w:r w:rsidRPr="00426FB8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РасчетыССотрудниками</w:t>
      </w:r>
      <w:proofErr w:type="spell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 должны полностью закрыться </w:t>
      </w:r>
      <w:proofErr w:type="gramStart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дебетовыми</w:t>
      </w:r>
      <w:proofErr w:type="gramEnd"/>
      <w:r w:rsidRPr="00426FB8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, и остаток стать нулевым.</w:t>
      </w:r>
    </w:p>
    <w:p w:rsidR="00426FB8" w:rsidRPr="00426FB8" w:rsidRDefault="00426FB8" w:rsidP="00426FB8">
      <w:pPr>
        <w:spacing w:after="12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sectPr w:rsidR="00426FB8" w:rsidRPr="0042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474" w:rsidRDefault="00826474" w:rsidP="00426FB8">
      <w:pPr>
        <w:spacing w:after="0" w:line="240" w:lineRule="auto"/>
      </w:pPr>
      <w:r>
        <w:separator/>
      </w:r>
    </w:p>
  </w:endnote>
  <w:endnote w:type="continuationSeparator" w:id="0">
    <w:p w:rsidR="00826474" w:rsidRDefault="00826474" w:rsidP="0042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474" w:rsidRDefault="00826474" w:rsidP="00426FB8">
      <w:pPr>
        <w:spacing w:after="0" w:line="240" w:lineRule="auto"/>
      </w:pPr>
      <w:r>
        <w:separator/>
      </w:r>
    </w:p>
  </w:footnote>
  <w:footnote w:type="continuationSeparator" w:id="0">
    <w:p w:rsidR="00826474" w:rsidRDefault="00826474" w:rsidP="00426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770D"/>
    <w:multiLevelType w:val="multilevel"/>
    <w:tmpl w:val="1764CF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B7D3D"/>
    <w:multiLevelType w:val="multilevel"/>
    <w:tmpl w:val="AB06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033B5"/>
    <w:multiLevelType w:val="multilevel"/>
    <w:tmpl w:val="E066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D4362"/>
    <w:multiLevelType w:val="multilevel"/>
    <w:tmpl w:val="7F26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276DA"/>
    <w:multiLevelType w:val="multilevel"/>
    <w:tmpl w:val="A9E2C9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3260E"/>
    <w:multiLevelType w:val="multilevel"/>
    <w:tmpl w:val="33F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82094"/>
    <w:multiLevelType w:val="multilevel"/>
    <w:tmpl w:val="03E6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932F32"/>
    <w:multiLevelType w:val="multilevel"/>
    <w:tmpl w:val="9DDA33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6D5E6D"/>
    <w:multiLevelType w:val="multilevel"/>
    <w:tmpl w:val="936E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4A026A"/>
    <w:multiLevelType w:val="multilevel"/>
    <w:tmpl w:val="7444D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986657"/>
    <w:multiLevelType w:val="multilevel"/>
    <w:tmpl w:val="CBFE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80"/>
    <w:rsid w:val="003A40F5"/>
    <w:rsid w:val="00426FB8"/>
    <w:rsid w:val="006D3580"/>
    <w:rsid w:val="0082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6FB8"/>
    <w:rPr>
      <w:b/>
      <w:bCs/>
    </w:rPr>
  </w:style>
  <w:style w:type="paragraph" w:styleId="a4">
    <w:name w:val="header"/>
    <w:basedOn w:val="a"/>
    <w:link w:val="a5"/>
    <w:uiPriority w:val="99"/>
    <w:unhideWhenUsed/>
    <w:rsid w:val="00426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6FB8"/>
  </w:style>
  <w:style w:type="paragraph" w:styleId="a6">
    <w:name w:val="footer"/>
    <w:basedOn w:val="a"/>
    <w:link w:val="a7"/>
    <w:uiPriority w:val="99"/>
    <w:unhideWhenUsed/>
    <w:rsid w:val="00426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6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6FB8"/>
    <w:rPr>
      <w:b/>
      <w:bCs/>
    </w:rPr>
  </w:style>
  <w:style w:type="paragraph" w:styleId="a4">
    <w:name w:val="header"/>
    <w:basedOn w:val="a"/>
    <w:link w:val="a5"/>
    <w:uiPriority w:val="99"/>
    <w:unhideWhenUsed/>
    <w:rsid w:val="00426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6FB8"/>
  </w:style>
  <w:style w:type="paragraph" w:styleId="a6">
    <w:name w:val="footer"/>
    <w:basedOn w:val="a"/>
    <w:link w:val="a7"/>
    <w:uiPriority w:val="99"/>
    <w:unhideWhenUsed/>
    <w:rsid w:val="00426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6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6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3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3</cp:revision>
  <dcterms:created xsi:type="dcterms:W3CDTF">2023-10-23T21:20:00Z</dcterms:created>
  <dcterms:modified xsi:type="dcterms:W3CDTF">2023-10-23T21:26:00Z</dcterms:modified>
</cp:coreProperties>
</file>